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1BB11">
      <w:pPr>
        <w:pStyle w:val="56"/>
        <w:jc w:val="left"/>
        <w:rPr>
          <w:rFonts w:hint="eastAsia"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31</w:t>
      </w:r>
      <w:r>
        <w:rPr>
          <w:b/>
          <w:sz w:val="20"/>
          <w:szCs w:val="20"/>
        </w:rPr>
        <w:tab/>
      </w:r>
      <w:r>
        <w:rPr>
          <w:rFonts w:hint="eastAsia"/>
          <w:b/>
          <w:sz w:val="20"/>
          <w:szCs w:val="20"/>
        </w:rPr>
        <w:t>R2-2505960</w:t>
      </w:r>
      <w:bookmarkStart w:id="18" w:name="_GoBack"/>
      <w:bookmarkEnd w:id="18"/>
    </w:p>
    <w:p w14:paraId="3A01786B">
      <w:pPr>
        <w:pStyle w:val="56"/>
        <w:jc w:val="left"/>
        <w:rPr>
          <w:rFonts w:hint="eastAsia" w:cs="Arial"/>
          <w:sz w:val="20"/>
          <w:szCs w:val="20"/>
        </w:rPr>
      </w:pPr>
      <w:r>
        <w:rPr>
          <w:rFonts w:hint="eastAsia" w:cs="Arial"/>
          <w:sz w:val="20"/>
        </w:rPr>
        <w:t xml:space="preserve">Bangalore, India, August </w:t>
      </w:r>
      <w:r>
        <w:rPr>
          <w:rFonts w:hint="eastAsia" w:eastAsia="宋体" w:cs="Arial"/>
          <w:sz w:val="20"/>
          <w:lang w:val="en-US" w:eastAsia="zh-CN"/>
        </w:rPr>
        <w:t>25</w:t>
      </w:r>
      <w:r>
        <w:rPr>
          <w:rFonts w:hint="eastAsia" w:cs="Arial"/>
          <w:sz w:val="20"/>
          <w:vertAlign w:val="superscript"/>
        </w:rPr>
        <w:t>th</w:t>
      </w:r>
      <w:r>
        <w:rPr>
          <w:rFonts w:hint="eastAsia" w:cs="Arial"/>
          <w:sz w:val="20"/>
        </w:rPr>
        <w:t xml:space="preserve"> – 2</w:t>
      </w:r>
      <w:r>
        <w:rPr>
          <w:rFonts w:hint="eastAsia" w:eastAsia="宋体" w:cs="Arial"/>
          <w:sz w:val="20"/>
          <w:lang w:val="en-US" w:eastAsia="zh-CN"/>
        </w:rPr>
        <w:t>9</w:t>
      </w:r>
      <w:r>
        <w:rPr>
          <w:rFonts w:hint="eastAsia" w:eastAsia="宋体" w:cs="Arial"/>
          <w:sz w:val="20"/>
          <w:vertAlign w:val="superscript"/>
          <w:lang w:val="en-US" w:eastAsia="zh-CN"/>
        </w:rPr>
        <w:t>th</w:t>
      </w:r>
      <w:r>
        <w:rPr>
          <w:rFonts w:hint="eastAsia" w:cs="Arial"/>
          <w:sz w:val="20"/>
          <w:szCs w:val="20"/>
        </w:rPr>
        <w:t>, 2025</w:t>
      </w:r>
    </w:p>
    <w:p w14:paraId="32467394">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8.17</w:t>
      </w:r>
    </w:p>
    <w:p w14:paraId="15F0F98F">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14:paraId="36364E5E">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Remaining issues on support</w:t>
      </w:r>
      <w:r>
        <w:rPr>
          <w:rFonts w:hint="eastAsia" w:cs="Arial" w:eastAsiaTheme="minorEastAsia"/>
          <w:sz w:val="20"/>
          <w:szCs w:val="20"/>
          <w:lang w:val="en-US" w:eastAsia="zh-CN"/>
        </w:rPr>
        <w:t xml:space="preserve"> of IoT-NTN TDD mode</w:t>
      </w:r>
    </w:p>
    <w:p w14:paraId="1D9A6C65">
      <w:pPr>
        <w:pStyle w:val="56"/>
        <w:jc w:val="left"/>
        <w:rPr>
          <w:rFonts w:hint="default"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14:paraId="6E39B572">
      <w:pPr>
        <w:pStyle w:val="2"/>
        <w:rPr>
          <w:rFonts w:cs="Arial"/>
          <w:sz w:val="32"/>
          <w:szCs w:val="32"/>
        </w:rPr>
      </w:pPr>
      <w:r>
        <w:rPr>
          <w:rFonts w:cs="Arial"/>
          <w:sz w:val="32"/>
          <w:szCs w:val="32"/>
        </w:rPr>
        <w:t>Introduction</w:t>
      </w:r>
    </w:p>
    <w:p w14:paraId="302E95AD">
      <w:pPr>
        <w:suppressAutoHyphens/>
        <w:adjustRightInd/>
        <w:spacing w:before="120"/>
        <w:rPr>
          <w:lang w:eastAsia="ja-JP"/>
        </w:rPr>
      </w:pPr>
      <w:r>
        <w:rPr>
          <w:rFonts w:hint="default" w:cs="Arial" w:eastAsiaTheme="minorEastAsia"/>
          <w:bCs/>
          <w:lang w:val="en-US"/>
        </w:rPr>
        <w:t xml:space="preserve">In last RAN2 meeting, there were some discussions on support of </w:t>
      </w:r>
      <w:r>
        <w:rPr>
          <w:rFonts w:hint="eastAsia" w:cs="Arial" w:eastAsiaTheme="minorEastAsia"/>
          <w:bCs/>
          <w:lang w:val="en-US" w:eastAsia="zh-CN"/>
        </w:rPr>
        <w:t>IoT-NTN TDD mode</w:t>
      </w:r>
      <w:r>
        <w:rPr>
          <w:rFonts w:hint="default" w:cs="Arial" w:eastAsiaTheme="minorEastAsia"/>
          <w:bCs/>
          <w:lang w:val="en-US"/>
        </w:rPr>
        <w:t xml:space="preserve"> and some agreements were achieved as follows [1]: </w:t>
      </w:r>
    </w:p>
    <w:p w14:paraId="718E7DCB">
      <w:pPr>
        <w:pStyle w:val="54"/>
        <w:pBdr>
          <w:top w:val="single" w:color="auto" w:sz="4" w:space="1"/>
          <w:left w:val="single" w:color="auto" w:sz="4" w:space="4"/>
          <w:bottom w:val="single" w:color="auto" w:sz="4" w:space="1"/>
          <w:right w:val="single" w:color="auto" w:sz="4" w:space="4"/>
        </w:pBdr>
        <w:rPr>
          <w:lang w:val="en-US" w:eastAsia="zh-CN"/>
        </w:rPr>
      </w:pPr>
      <w:r>
        <w:rPr>
          <w:lang w:val="en-US" w:eastAsia="zh-CN"/>
        </w:rPr>
        <w:t>Agreements:</w:t>
      </w:r>
    </w:p>
    <w:p w14:paraId="6804BD28">
      <w:pPr>
        <w:pStyle w:val="54"/>
        <w:pBdr>
          <w:top w:val="single" w:color="auto" w:sz="4" w:space="1"/>
          <w:left w:val="single" w:color="auto" w:sz="4" w:space="4"/>
          <w:bottom w:val="single" w:color="auto" w:sz="4" w:space="1"/>
          <w:right w:val="single" w:color="auto" w:sz="4" w:space="4"/>
        </w:pBdr>
        <w:rPr>
          <w:lang w:val="en-US" w:eastAsia="zh-CN"/>
        </w:rPr>
      </w:pPr>
      <w:r>
        <w:rPr>
          <w:lang w:val="en-US" w:eastAsia="zh-CN"/>
        </w:rPr>
        <w:t>1.</w:t>
      </w:r>
      <w:r>
        <w:rPr>
          <w:lang w:val="en-US" w:eastAsia="zh-CN"/>
        </w:rPr>
        <w:tab/>
      </w:r>
      <w:r>
        <w:rPr>
          <w:lang w:val="en-US" w:eastAsia="zh-CN"/>
        </w:rPr>
        <w:t>The SI-message transmission can be postponed to the next valid D frame within the SI-Window</w:t>
      </w:r>
    </w:p>
    <w:p w14:paraId="1A9ED084">
      <w:pPr>
        <w:pStyle w:val="54"/>
        <w:pBdr>
          <w:top w:val="single" w:color="auto" w:sz="4" w:space="1"/>
          <w:left w:val="single" w:color="auto" w:sz="4" w:space="4"/>
          <w:bottom w:val="single" w:color="auto" w:sz="4" w:space="1"/>
          <w:right w:val="single" w:color="auto" w:sz="4" w:space="4"/>
        </w:pBdr>
        <w:rPr>
          <w:rStyle w:val="112"/>
          <w:i w:val="0"/>
          <w:sz w:val="20"/>
        </w:rPr>
      </w:pPr>
      <w:r>
        <w:rPr>
          <w:rStyle w:val="112"/>
          <w:i w:val="0"/>
          <w:sz w:val="20"/>
        </w:rPr>
        <w:t>2.</w:t>
      </w:r>
      <w:r>
        <w:rPr>
          <w:rStyle w:val="112"/>
          <w:i w:val="0"/>
          <w:sz w:val="20"/>
        </w:rPr>
        <w:tab/>
      </w:r>
      <w:r>
        <w:rPr>
          <w:rStyle w:val="112"/>
          <w:i w:val="0"/>
          <w:sz w:val="20"/>
        </w:rPr>
        <w:t>It is up to NW implementation to avoid SI-window overlap</w:t>
      </w:r>
    </w:p>
    <w:p w14:paraId="78329E6B">
      <w:pPr>
        <w:pStyle w:val="54"/>
        <w:pBdr>
          <w:top w:val="single" w:color="auto" w:sz="4" w:space="1"/>
          <w:left w:val="single" w:color="auto" w:sz="4" w:space="4"/>
          <w:bottom w:val="single" w:color="auto" w:sz="4" w:space="1"/>
          <w:right w:val="single" w:color="auto" w:sz="4" w:space="4"/>
        </w:pBdr>
      </w:pPr>
      <w:r>
        <w:rPr>
          <w:rStyle w:val="112"/>
          <w:i w:val="0"/>
          <w:sz w:val="20"/>
        </w:rPr>
        <w:t>3.</w:t>
      </w:r>
      <w:r>
        <w:rPr>
          <w:rStyle w:val="112"/>
          <w:i w:val="0"/>
          <w:sz w:val="20"/>
        </w:rPr>
        <w:tab/>
      </w:r>
      <w:r>
        <w:t>SI repetitions will not overlap (in case of collision the subsequent SI repetition is postponed)</w:t>
      </w:r>
    </w:p>
    <w:p w14:paraId="1FA10F6D">
      <w:pPr>
        <w:pStyle w:val="54"/>
        <w:pBdr>
          <w:top w:val="single" w:color="auto" w:sz="4" w:space="1"/>
          <w:left w:val="single" w:color="auto" w:sz="4" w:space="4"/>
          <w:bottom w:val="single" w:color="auto" w:sz="4" w:space="1"/>
          <w:right w:val="single" w:color="auto" w:sz="4" w:space="4"/>
        </w:pBdr>
      </w:pPr>
      <w:r>
        <w:t>4.</w:t>
      </w:r>
      <w:r>
        <w:tab/>
      </w:r>
      <w:r>
        <w:t>In IoT-NTN TDD mode, the RA-RNTI should be calculated based on the SFN of the first radio frame in which the Random-Access Preamble is transmitted (i.e. no spec change)</w:t>
      </w:r>
    </w:p>
    <w:p w14:paraId="2C9975B9">
      <w:pPr>
        <w:pStyle w:val="54"/>
        <w:pBdr>
          <w:top w:val="single" w:color="auto" w:sz="4" w:space="1"/>
          <w:left w:val="single" w:color="auto" w:sz="4" w:space="4"/>
          <w:bottom w:val="single" w:color="auto" w:sz="4" w:space="1"/>
          <w:right w:val="single" w:color="auto" w:sz="4" w:space="4"/>
        </w:pBdr>
      </w:pPr>
      <w:r>
        <w:t>5.</w:t>
      </w:r>
      <w:r>
        <w:tab/>
      </w:r>
      <w:r>
        <w:t>For the timer of ra-ResponseWindowSize and mac-ContentionResolutionTimer, the absolute value limitation for FDD (i.e., 10.24s) is used for IoT NTN TDD.</w:t>
      </w:r>
    </w:p>
    <w:p w14:paraId="63F1A272">
      <w:pPr>
        <w:pStyle w:val="54"/>
        <w:pBdr>
          <w:top w:val="single" w:color="auto" w:sz="4" w:space="1"/>
          <w:left w:val="single" w:color="auto" w:sz="4" w:space="4"/>
          <w:bottom w:val="single" w:color="auto" w:sz="4" w:space="1"/>
          <w:right w:val="single" w:color="auto" w:sz="4" w:space="4"/>
        </w:pBdr>
      </w:pPr>
      <w:r>
        <w:t>6.</w:t>
      </w:r>
      <w:r>
        <w:tab/>
      </w:r>
      <w:r>
        <w:t>In IoT-NTN TDD mode the same formula as for RA-RNTI calculation for FDD is reused</w:t>
      </w:r>
    </w:p>
    <w:p w14:paraId="73AEABA2">
      <w:pPr>
        <w:pStyle w:val="54"/>
        <w:pBdr>
          <w:top w:val="single" w:color="auto" w:sz="4" w:space="1"/>
          <w:left w:val="single" w:color="auto" w:sz="4" w:space="4"/>
          <w:bottom w:val="single" w:color="auto" w:sz="4" w:space="1"/>
          <w:right w:val="single" w:color="auto" w:sz="4" w:space="4"/>
        </w:pBdr>
      </w:pPr>
      <w:r>
        <w:t>7.</w:t>
      </w:r>
      <w:r>
        <w:tab/>
      </w:r>
      <w:r>
        <w:t>No extension is needed on the value range of timer in unit of ms or s for IoT NTN TDD</w:t>
      </w:r>
    </w:p>
    <w:p w14:paraId="4F5B646F">
      <w:pPr>
        <w:pStyle w:val="54"/>
        <w:pBdr>
          <w:top w:val="single" w:color="auto" w:sz="4" w:space="1"/>
          <w:left w:val="single" w:color="auto" w:sz="4" w:space="4"/>
          <w:bottom w:val="single" w:color="auto" w:sz="4" w:space="1"/>
          <w:right w:val="single" w:color="auto" w:sz="4" w:space="4"/>
        </w:pBdr>
        <w:rPr>
          <w:lang w:eastAsia="ja-JP"/>
        </w:rPr>
      </w:pPr>
      <w:r>
        <w:rPr>
          <w:lang w:eastAsia="ja-JP"/>
        </w:rPr>
        <w:t>8.</w:t>
      </w:r>
      <w:r>
        <w:rPr>
          <w:lang w:eastAsia="ja-JP"/>
        </w:rPr>
        <w:tab/>
      </w:r>
      <w:r>
        <w:rPr>
          <w:lang w:eastAsia="ja-JP"/>
        </w:rPr>
        <w:t>The remaining paging repetitions falling on the invalid DL SFNs are postponed to the next valid DL SFNs.</w:t>
      </w:r>
    </w:p>
    <w:p w14:paraId="01D81DC9">
      <w:pPr>
        <w:pStyle w:val="54"/>
        <w:pBdr>
          <w:top w:val="single" w:color="auto" w:sz="4" w:space="1"/>
          <w:left w:val="single" w:color="auto" w:sz="4" w:space="4"/>
          <w:bottom w:val="single" w:color="auto" w:sz="4" w:space="1"/>
          <w:right w:val="single" w:color="auto" w:sz="4" w:space="4"/>
        </w:pBdr>
        <w:rPr>
          <w:lang w:eastAsia="ja-JP"/>
        </w:rPr>
      </w:pPr>
      <w:r>
        <w:rPr>
          <w:lang w:eastAsia="ja-JP"/>
        </w:rPr>
        <w:t>9.</w:t>
      </w:r>
      <w:r>
        <w:rPr>
          <w:lang w:eastAsia="ja-JP"/>
        </w:rPr>
        <w:tab/>
      </w:r>
      <w:r>
        <w:rPr>
          <w:lang w:eastAsia="ja-JP"/>
        </w:rPr>
        <w:t>It is up to network to configure the gap between two POs (i.e., parameter NB) to be sufficiently long such that it includes enough number of valid DL subframes for NumRepetitionPaging-r13 (no spec impact)</w:t>
      </w:r>
    </w:p>
    <w:p w14:paraId="5297C463">
      <w:pPr>
        <w:pStyle w:val="54"/>
        <w:pBdr>
          <w:top w:val="single" w:color="auto" w:sz="4" w:space="1"/>
          <w:left w:val="single" w:color="auto" w:sz="4" w:space="4"/>
          <w:bottom w:val="single" w:color="auto" w:sz="4" w:space="1"/>
          <w:right w:val="single" w:color="auto" w:sz="4" w:space="4"/>
        </w:pBdr>
      </w:pPr>
      <w:r>
        <w:t>10.</w:t>
      </w:r>
      <w:r>
        <w:tab/>
      </w:r>
      <w:r>
        <w:t>Introduce the following definition for IoT-NTN TDD mode in the impacted RAN2 specifications:</w:t>
      </w:r>
      <w:r>
        <w:br w:type="textWrapping"/>
      </w:r>
      <w:r>
        <w:t>IoT-NTN TDD mode: allows use of NB-IoT channels with TDD mode for NTN with fixed values of D non-overlapping usable contiguous DL subframes and set of U usable contiguous UL subframes separated by fixed guard period (can revisit this based on the TP being prepared by RAN1)</w:t>
      </w:r>
    </w:p>
    <w:p w14:paraId="13DB813F">
      <w:pPr>
        <w:pStyle w:val="54"/>
        <w:pBdr>
          <w:top w:val="single" w:color="auto" w:sz="4" w:space="1"/>
          <w:left w:val="single" w:color="auto" w:sz="4" w:space="4"/>
          <w:bottom w:val="single" w:color="auto" w:sz="4" w:space="1"/>
          <w:right w:val="single" w:color="auto" w:sz="4" w:space="4"/>
        </w:pBdr>
        <w:rPr>
          <w:lang w:eastAsia="ja-JP"/>
        </w:rPr>
      </w:pPr>
      <w:r>
        <w:rPr>
          <w:lang w:eastAsia="ja-JP"/>
        </w:rPr>
        <w:t>11.</w:t>
      </w:r>
      <w:r>
        <w:rPr>
          <w:lang w:eastAsia="ja-JP"/>
        </w:rPr>
        <w:tab/>
      </w:r>
      <w:r>
        <w:rPr>
          <w:lang w:eastAsia="ja-JP"/>
        </w:rPr>
        <w:t xml:space="preserve">In Rel19, RAN2 will not work on any specific enhancements to ensure that the features being specified in IoT_NTN_Ph3-Core will also work for IoT NTN TDD mode </w:t>
      </w:r>
    </w:p>
    <w:p w14:paraId="06B3D60C">
      <w:pPr>
        <w:pStyle w:val="54"/>
        <w:pBdr>
          <w:top w:val="single" w:color="auto" w:sz="4" w:space="1"/>
          <w:left w:val="single" w:color="auto" w:sz="4" w:space="4"/>
          <w:bottom w:val="single" w:color="auto" w:sz="4" w:space="1"/>
          <w:right w:val="single" w:color="auto" w:sz="4" w:space="4"/>
        </w:pBdr>
        <w:rPr>
          <w:lang w:eastAsia="ja-JP"/>
        </w:rPr>
      </w:pPr>
      <w:r>
        <w:rPr>
          <w:lang w:eastAsia="ja-JP"/>
        </w:rPr>
        <w:t>12. In IoT_NTN_Ph3-Core, RAN2 will not work on any specific enhancements to ensure that the features being specified in IoT_NTN_Ph3-Core will also work for IoT NTN TDD mode. RAN2 understands that, as part of the IoT_NTN_TDD WI, we can discuss on a case by case basis whether minor specific enhancements – not affecting other WGs - can be supported to ensure that (some of) the features being specified in IoT_NTN_Ph3-Core will also work for IoT NTN TDD mode</w:t>
      </w:r>
    </w:p>
    <w:p w14:paraId="64A338B9">
      <w:pPr>
        <w:suppressAutoHyphens/>
        <w:adjustRightInd/>
        <w:spacing w:before="120"/>
        <w:rPr>
          <w:rFonts w:hint="eastAsia" w:eastAsia="宋体"/>
          <w:lang w:val="en-US" w:eastAsia="zh-CN"/>
        </w:rPr>
      </w:pPr>
      <w:r>
        <w:rPr>
          <w:rFonts w:hint="eastAsia" w:eastAsia="宋体"/>
          <w:lang w:val="en-US" w:eastAsia="zh-CN"/>
        </w:rPr>
        <w:t>According to RAN1 discussion progress, the latest agreements are reached as following[2]: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B98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D36F10">
            <w:pPr>
              <w:rPr>
                <w:rFonts w:hint="default" w:ascii="Arial" w:hAnsi="Arial" w:cs="Arial" w:eastAsiaTheme="minorEastAsia"/>
                <w:vertAlign w:val="baseline"/>
              </w:rPr>
            </w:pPr>
            <w:r>
              <w:rPr>
                <w:rFonts w:hint="default" w:ascii="Arial" w:hAnsi="Arial" w:cs="Arial"/>
                <w:b/>
                <w:bCs/>
                <w:highlight w:val="green"/>
              </w:rPr>
              <w:t>Agreement</w:t>
            </w:r>
          </w:p>
          <w:p w14:paraId="1FA2BCEB">
            <w:pPr>
              <w:rPr>
                <w:rFonts w:hint="default" w:ascii="Arial" w:hAnsi="Arial" w:cs="Arial"/>
                <w:bCs/>
                <w:sz w:val="20"/>
                <w:szCs w:val="20"/>
                <w:lang w:eastAsia="ko-KR"/>
              </w:rPr>
            </w:pPr>
            <w:r>
              <w:rPr>
                <w:rFonts w:hint="default" w:ascii="Arial" w:hAnsi="Arial" w:cs="Arial"/>
                <w:bCs/>
                <w:sz w:val="20"/>
                <w:szCs w:val="20"/>
                <w:lang w:eastAsia="ko-KR"/>
              </w:rPr>
              <w:t>NPRACH periodicities of 40ms and 80ms are not supported in NB-IoT NTN TDD mode</w:t>
            </w:r>
          </w:p>
          <w:p w14:paraId="29906AF4">
            <w:pPr>
              <w:numPr>
                <w:ilvl w:val="0"/>
                <w:numId w:val="11"/>
              </w:numPr>
              <w:spacing w:after="180" w:line="276" w:lineRule="auto"/>
              <w:rPr>
                <w:rFonts w:hint="default" w:ascii="Arial" w:hAnsi="Arial" w:cs="Arial"/>
                <w:bCs/>
                <w:sz w:val="20"/>
                <w:szCs w:val="20"/>
                <w:lang w:eastAsia="ko-KR"/>
              </w:rPr>
            </w:pPr>
            <w:r>
              <w:rPr>
                <w:rFonts w:hint="default" w:ascii="Arial" w:hAnsi="Arial" w:cs="Arial"/>
                <w:bCs/>
                <w:sz w:val="20"/>
                <w:szCs w:val="20"/>
                <w:lang w:eastAsia="ko-KR"/>
              </w:rPr>
              <w:t>Instead, periodicities of 90ms and 180ms are supported</w:t>
            </w:r>
          </w:p>
          <w:p w14:paraId="60EEF43D">
            <w:pPr>
              <w:overflowPunct/>
              <w:autoSpaceDE/>
              <w:autoSpaceDN/>
              <w:adjustRightInd/>
              <w:spacing w:after="0"/>
              <w:jc w:val="left"/>
              <w:textAlignment w:val="auto"/>
              <w:rPr>
                <w:rFonts w:hint="default" w:ascii="Arial" w:hAnsi="Arial" w:eastAsia="Batang" w:cs="Arial"/>
                <w:b/>
                <w:bCs/>
                <w:szCs w:val="24"/>
                <w:lang w:val="en-GB" w:eastAsia="en-US"/>
              </w:rPr>
            </w:pPr>
            <w:r>
              <w:rPr>
                <w:rFonts w:hint="default" w:ascii="Arial" w:hAnsi="Arial" w:eastAsia="Batang" w:cs="Arial"/>
                <w:b/>
                <w:bCs/>
                <w:szCs w:val="24"/>
                <w:highlight w:val="green"/>
                <w:lang w:val="en-GB" w:eastAsia="en-US"/>
              </w:rPr>
              <w:t>Agreement</w:t>
            </w:r>
          </w:p>
          <w:p w14:paraId="54DC9BCA">
            <w:pPr>
              <w:overflowPunct/>
              <w:autoSpaceDE/>
              <w:autoSpaceDN/>
              <w:adjustRightInd/>
              <w:spacing w:after="0"/>
              <w:jc w:val="left"/>
              <w:textAlignment w:val="auto"/>
              <w:rPr>
                <w:rFonts w:hint="default" w:ascii="Arial" w:hAnsi="Arial" w:eastAsia="Batang" w:cs="Arial"/>
                <w:bCs/>
                <w:szCs w:val="24"/>
                <w:lang w:val="en-GB" w:eastAsia="en-US"/>
              </w:rPr>
            </w:pPr>
            <w:r>
              <w:rPr>
                <w:rFonts w:hint="default" w:ascii="Arial" w:hAnsi="Arial" w:eastAsia="Batang" w:cs="Arial"/>
                <w:szCs w:val="24"/>
                <w:lang w:val="en-GB" w:eastAsia="zh-CN"/>
              </w:rPr>
              <w:t>For GNSS measurement gap:</w:t>
            </w:r>
          </w:p>
          <w:p w14:paraId="3C4FE48A">
            <w:pPr>
              <w:numPr>
                <w:ilvl w:val="0"/>
                <w:numId w:val="12"/>
              </w:numPr>
              <w:ind w:left="720" w:leftChars="0" w:hanging="360"/>
              <w:rPr>
                <w:rFonts w:hint="default" w:ascii="Arial" w:hAnsi="Arial" w:eastAsia="Batang" w:cs="Arial"/>
                <w:szCs w:val="20"/>
                <w:lang w:val="en-GB" w:eastAsia="zh-CN" w:bidi="ar-SA"/>
              </w:rPr>
            </w:pPr>
            <w:r>
              <w:rPr>
                <w:rFonts w:hint="default" w:ascii="Arial" w:hAnsi="Arial" w:eastAsia="Batang" w:cs="Arial"/>
                <w:szCs w:val="20"/>
                <w:lang w:val="en-GB" w:eastAsia="zh-CN" w:bidi="ar-SA"/>
              </w:rPr>
              <w:t>GNSS measurement gap can be applied in NB-IoT NTN TDD</w:t>
            </w:r>
          </w:p>
          <w:p w14:paraId="7FA751E7">
            <w:pPr>
              <w:numPr>
                <w:ilvl w:val="0"/>
                <w:numId w:val="12"/>
              </w:numPr>
              <w:ind w:left="720" w:leftChars="0" w:hanging="360"/>
              <w:rPr>
                <w:rFonts w:hint="default" w:ascii="Arial" w:hAnsi="Arial" w:eastAsia="Batang" w:cs="Arial"/>
                <w:szCs w:val="20"/>
                <w:lang w:val="en-GB" w:eastAsia="zh-CN" w:bidi="ar-SA"/>
              </w:rPr>
            </w:pPr>
            <w:r>
              <w:rPr>
                <w:rFonts w:hint="default" w:ascii="Arial" w:hAnsi="Arial" w:eastAsia="Batang" w:cs="Arial"/>
                <w:szCs w:val="20"/>
                <w:lang w:val="en-GB" w:eastAsia="zh-CN" w:bidi="ar-SA"/>
              </w:rPr>
              <w:t>RAN1 does not specify any enhancement on the Rel-18 timeline for the start of GNSS gap.</w:t>
            </w:r>
          </w:p>
          <w:p w14:paraId="5CCEC582">
            <w:pPr>
              <w:overflowPunct/>
              <w:autoSpaceDE/>
              <w:autoSpaceDN/>
              <w:adjustRightInd/>
              <w:spacing w:after="0"/>
              <w:jc w:val="left"/>
              <w:textAlignment w:val="auto"/>
              <w:rPr>
                <w:rFonts w:hint="default" w:ascii="Arial" w:hAnsi="Arial" w:eastAsia="Batang" w:cs="Arial"/>
                <w:szCs w:val="24"/>
                <w:lang w:val="en-GB" w:eastAsia="en-US"/>
              </w:rPr>
            </w:pPr>
          </w:p>
          <w:p w14:paraId="6D2A5321">
            <w:pPr>
              <w:overflowPunct/>
              <w:autoSpaceDE/>
              <w:autoSpaceDN/>
              <w:adjustRightInd/>
              <w:spacing w:after="0"/>
              <w:jc w:val="left"/>
              <w:textAlignment w:val="auto"/>
              <w:rPr>
                <w:rFonts w:hint="default" w:ascii="Arial" w:hAnsi="Arial" w:eastAsia="Batang" w:cs="Arial"/>
                <w:b/>
                <w:szCs w:val="24"/>
                <w:u w:val="single"/>
                <w:lang w:val="en-GB" w:eastAsia="zh-CN"/>
              </w:rPr>
            </w:pPr>
            <w:r>
              <w:rPr>
                <w:rFonts w:hint="default" w:ascii="Arial" w:hAnsi="Arial" w:eastAsia="Batang" w:cs="Arial"/>
                <w:b/>
                <w:szCs w:val="24"/>
                <w:u w:val="single"/>
                <w:lang w:val="en-GB" w:eastAsia="zh-CN"/>
              </w:rPr>
              <w:t>Conclusion</w:t>
            </w:r>
          </w:p>
          <w:p w14:paraId="280BABE4">
            <w:pPr>
              <w:overflowPunct/>
              <w:autoSpaceDE/>
              <w:autoSpaceDN/>
              <w:adjustRightInd/>
              <w:spacing w:after="0"/>
              <w:jc w:val="left"/>
              <w:textAlignment w:val="auto"/>
              <w:rPr>
                <w:rFonts w:hint="default" w:ascii="Arial" w:hAnsi="Arial" w:eastAsia="Batang" w:cs="Arial"/>
                <w:szCs w:val="24"/>
                <w:lang w:val="en-GB" w:eastAsia="zh-CN"/>
              </w:rPr>
            </w:pPr>
            <w:r>
              <w:rPr>
                <w:rFonts w:hint="default" w:ascii="Arial" w:hAnsi="Arial" w:eastAsia="Batang" w:cs="Arial"/>
                <w:szCs w:val="24"/>
                <w:lang w:val="en-GB" w:eastAsia="zh-CN"/>
              </w:rPr>
              <w:t>Additional SIB1-NB transmissions are supported based on current specifications without the need of indicating DL bitmap.</w:t>
            </w:r>
          </w:p>
          <w:p w14:paraId="0E66A525">
            <w:pPr>
              <w:numPr>
                <w:ilvl w:val="0"/>
                <w:numId w:val="12"/>
              </w:numPr>
              <w:ind w:left="720" w:leftChars="0" w:hanging="360"/>
              <w:rPr>
                <w:rFonts w:hint="default" w:ascii="Arial" w:hAnsi="Arial" w:eastAsia="Batang" w:cs="Arial"/>
                <w:szCs w:val="20"/>
                <w:lang w:val="en-GB" w:eastAsia="zh-CN" w:bidi="ar-SA"/>
              </w:rPr>
            </w:pPr>
            <w:r>
              <w:rPr>
                <w:rFonts w:hint="default" w:ascii="Arial" w:hAnsi="Arial" w:eastAsia="Batang" w:cs="Arial"/>
                <w:szCs w:val="20"/>
                <w:lang w:val="en-GB" w:eastAsia="zh-CN" w:bidi="ar-SA"/>
              </w:rPr>
              <w:t>NOTE: RAN1 assumes that all NTN-IoT TDD UEs can interpret additionalTransmissionSIB1-r15 in MIB</w:t>
            </w:r>
          </w:p>
          <w:p w14:paraId="6287CAB1">
            <w:pPr>
              <w:numPr>
                <w:ilvl w:val="0"/>
                <w:numId w:val="0"/>
              </w:numPr>
              <w:spacing w:after="180" w:line="276" w:lineRule="auto"/>
              <w:rPr>
                <w:rFonts w:hint="default" w:ascii="Arial" w:hAnsi="Arial" w:cs="Arial"/>
                <w:bCs/>
                <w:sz w:val="20"/>
                <w:szCs w:val="20"/>
                <w:lang w:eastAsia="ko-KR"/>
              </w:rPr>
            </w:pPr>
          </w:p>
          <w:p w14:paraId="5CE3491F">
            <w:pPr>
              <w:rPr>
                <w:rFonts w:hint="default" w:ascii="Arial" w:hAnsi="Arial" w:cs="Arial"/>
                <w:b/>
                <w:bCs/>
                <w:highlight w:val="green"/>
                <w:lang w:eastAsia="zh-CN"/>
              </w:rPr>
            </w:pPr>
            <w:r>
              <w:rPr>
                <w:rFonts w:hint="default" w:ascii="Arial" w:hAnsi="Arial" w:cs="Arial"/>
                <w:b/>
                <w:bCs/>
                <w:highlight w:val="green"/>
                <w:lang w:eastAsia="zh-CN"/>
              </w:rPr>
              <w:t>Agreement</w:t>
            </w:r>
          </w:p>
          <w:p w14:paraId="02472D9C">
            <w:pPr>
              <w:rPr>
                <w:rFonts w:hint="default" w:ascii="Arial" w:hAnsi="Arial" w:cs="Arial"/>
                <w:bCs/>
                <w:szCs w:val="20"/>
                <w:lang w:eastAsia="zh-CN"/>
              </w:rPr>
            </w:pPr>
            <w:r>
              <w:rPr>
                <w:rFonts w:hint="default" w:ascii="Arial" w:hAnsi="Arial" w:cs="Arial"/>
                <w:bCs/>
                <w:szCs w:val="20"/>
                <w:lang w:eastAsia="zh-CN"/>
              </w:rPr>
              <w:t>Confirm the working assumption of RAN1#120b with the following modifications</w:t>
            </w:r>
            <w:r>
              <w:rPr>
                <w:rFonts w:hint="default" w:ascii="Arial" w:hAnsi="Arial" w:cs="Arial"/>
                <w:bCs/>
                <w:szCs w:val="20"/>
                <w:lang w:eastAsia="zh-CN"/>
              </w:rPr>
              <w:br w:type="textWrapping"/>
            </w:r>
          </w:p>
          <w:p w14:paraId="7D6D18F6">
            <w:pPr>
              <w:rPr>
                <w:rFonts w:hint="default" w:ascii="Arial" w:hAnsi="Arial" w:cs="Arial"/>
                <w:szCs w:val="20"/>
                <w:u w:val="single"/>
              </w:rPr>
            </w:pPr>
            <w:r>
              <w:rPr>
                <w:rFonts w:hint="default" w:ascii="Arial" w:hAnsi="Arial" w:cs="Arial"/>
                <w:szCs w:val="20"/>
              </w:rPr>
              <w:t>DL bitmap (</w:t>
            </w:r>
            <w:r>
              <w:rPr>
                <w:rFonts w:hint="default" w:ascii="Arial" w:hAnsi="Arial" w:cs="Arial"/>
                <w:i/>
                <w:iCs/>
                <w:szCs w:val="20"/>
              </w:rPr>
              <w:t>downlinkBitmap</w:t>
            </w:r>
            <w:r>
              <w:rPr>
                <w:rFonts w:hint="default" w:ascii="Arial" w:hAnsi="Arial" w:cs="Arial"/>
                <w:szCs w:val="20"/>
              </w:rPr>
              <w:t xml:space="preserve"> / </w:t>
            </w:r>
            <w:r>
              <w:rPr>
                <w:rFonts w:hint="default" w:ascii="Arial" w:hAnsi="Arial" w:cs="Arial"/>
                <w:i/>
                <w:iCs/>
                <w:szCs w:val="20"/>
              </w:rPr>
              <w:t>downlinkBitmapNonAnchor</w:t>
            </w:r>
            <w:r>
              <w:rPr>
                <w:rFonts w:hint="default" w:ascii="Arial" w:hAnsi="Arial" w:cs="Arial"/>
                <w:szCs w:val="20"/>
              </w:rPr>
              <w:t xml:space="preserve">) </w:t>
            </w:r>
            <w:r>
              <w:rPr>
                <w:rFonts w:hint="default" w:ascii="Arial" w:hAnsi="Arial" w:cs="Arial"/>
                <w:color w:val="FF0000"/>
                <w:szCs w:val="20"/>
              </w:rPr>
              <w:t xml:space="preserve">does not apply to </w:t>
            </w:r>
            <w:r>
              <w:rPr>
                <w:rFonts w:hint="default" w:ascii="Arial" w:hAnsi="Arial" w:cs="Arial"/>
                <w:szCs w:val="20"/>
              </w:rPr>
              <w:t>a NB-IoT NTN TDD cell.</w:t>
            </w:r>
          </w:p>
          <w:p w14:paraId="2E1598E9">
            <w:pPr>
              <w:numPr>
                <w:ilvl w:val="0"/>
                <w:numId w:val="11"/>
              </w:numPr>
              <w:overflowPunct w:val="0"/>
              <w:autoSpaceDE w:val="0"/>
              <w:autoSpaceDN w:val="0"/>
              <w:adjustRightInd w:val="0"/>
              <w:contextualSpacing/>
              <w:textAlignment w:val="baseline"/>
              <w:rPr>
                <w:rFonts w:hint="default" w:ascii="Arial" w:hAnsi="Arial" w:cs="Arial"/>
                <w:szCs w:val="20"/>
                <w:lang w:eastAsia="zh-CN"/>
              </w:rPr>
            </w:pPr>
            <w:r>
              <w:rPr>
                <w:rFonts w:hint="default" w:ascii="Arial" w:hAnsi="Arial" w:cs="Arial"/>
                <w:szCs w:val="20"/>
                <w:lang w:eastAsia="zh-CN"/>
              </w:rPr>
              <w:t>NOTE1: All D NB-IoT subframes (except those carrying NPSS/NSSS/SIB1-NB/NPBCH) are NB-IoT DL subframes.</w:t>
            </w:r>
          </w:p>
          <w:p w14:paraId="767F388D">
            <w:pPr>
              <w:numPr>
                <w:ilvl w:val="0"/>
                <w:numId w:val="11"/>
              </w:numPr>
              <w:overflowPunct w:val="0"/>
              <w:autoSpaceDE w:val="0"/>
              <w:autoSpaceDN w:val="0"/>
              <w:adjustRightInd w:val="0"/>
              <w:contextualSpacing/>
              <w:textAlignment w:val="baseline"/>
              <w:rPr>
                <w:rFonts w:hint="default" w:ascii="Arial" w:hAnsi="Arial" w:cs="Arial"/>
                <w:szCs w:val="20"/>
                <w:lang w:eastAsia="zh-CN"/>
              </w:rPr>
            </w:pPr>
            <w:r>
              <w:rPr>
                <w:rFonts w:hint="default" w:ascii="Arial" w:hAnsi="Arial" w:cs="Arial"/>
                <w:szCs w:val="20"/>
                <w:lang w:eastAsia="zh-CN"/>
              </w:rPr>
              <w:t>NOTE2: “D NB-IoT subframes” are subframes contained within the set of D=8 usable consecutive downlink subframes in the TDD structure.</w:t>
            </w:r>
          </w:p>
          <w:p w14:paraId="71BB5800">
            <w:pPr>
              <w:pStyle w:val="118"/>
              <w:numPr>
                <w:ilvl w:val="0"/>
                <w:numId w:val="11"/>
              </w:numPr>
              <w:overflowPunct w:val="0"/>
              <w:autoSpaceDE w:val="0"/>
              <w:autoSpaceDN w:val="0"/>
              <w:adjustRightInd w:val="0"/>
              <w:textAlignment w:val="baseline"/>
              <w:rPr>
                <w:rFonts w:hint="default" w:ascii="Arial" w:hAnsi="Arial" w:cs="Arial"/>
                <w:color w:val="FF0000"/>
                <w:sz w:val="20"/>
                <w:szCs w:val="20"/>
              </w:rPr>
            </w:pPr>
            <w:r>
              <w:rPr>
                <w:rFonts w:hint="default" w:ascii="Arial" w:hAnsi="Arial" w:cs="Arial"/>
                <w:color w:val="FF0000"/>
                <w:sz w:val="20"/>
                <w:szCs w:val="20"/>
              </w:rPr>
              <w:t>Up to RAN2 to decide whether DL bitmap (downlinkBitmap / downlinkBitmapNonAnchor) is constrained to not being present in a NB-IoT NTN TDD cell, or it can be configured with values all set to ‘1’.</w:t>
            </w:r>
          </w:p>
          <w:p w14:paraId="7A89183E">
            <w:pPr>
              <w:rPr>
                <w:rFonts w:hint="default" w:ascii="Arial" w:hAnsi="Arial" w:cs="Arial"/>
                <w:b/>
                <w:highlight w:val="green"/>
              </w:rPr>
            </w:pPr>
            <w:r>
              <w:rPr>
                <w:rFonts w:hint="default" w:ascii="Arial" w:hAnsi="Arial" w:cs="Arial"/>
                <w:b/>
                <w:highlight w:val="green"/>
              </w:rPr>
              <w:t>Agreement</w:t>
            </w:r>
          </w:p>
          <w:p w14:paraId="6ED0E302">
            <w:pPr>
              <w:rPr>
                <w:rFonts w:hint="default" w:ascii="Arial" w:hAnsi="Arial" w:cs="Arial"/>
                <w:color w:val="000000" w:themeColor="text1"/>
                <w:szCs w:val="20"/>
                <w14:textFill>
                  <w14:solidFill>
                    <w14:schemeClr w14:val="tx1"/>
                  </w14:solidFill>
                </w14:textFill>
              </w:rPr>
            </w:pPr>
            <w:r>
              <w:rPr>
                <w:rFonts w:hint="default" w:ascii="Arial" w:hAnsi="Arial" w:cs="Arial"/>
                <w:color w:val="000000" w:themeColor="text1"/>
                <w:szCs w:val="20"/>
                <w14:textFill>
                  <w14:solidFill>
                    <w14:schemeClr w14:val="tx1"/>
                  </w14:solidFill>
                </w14:textFill>
              </w:rPr>
              <w:t>Confirm the following working assumption with modifications:</w:t>
            </w:r>
          </w:p>
          <w:p w14:paraId="1022F458">
            <w:pPr>
              <w:rPr>
                <w:rFonts w:hint="default" w:ascii="Arial" w:hAnsi="Arial" w:cs="Arial"/>
                <w:color w:val="000000" w:themeColor="text1"/>
                <w:szCs w:val="20"/>
                <w14:textFill>
                  <w14:solidFill>
                    <w14:schemeClr w14:val="tx1"/>
                  </w14:solidFill>
                </w14:textFill>
              </w:rPr>
            </w:pPr>
            <w:r>
              <w:rPr>
                <w:rFonts w:hint="default" w:ascii="Arial" w:hAnsi="Arial" w:cs="Arial"/>
                <w:color w:val="000000" w:themeColor="text1"/>
                <w:szCs w:val="20"/>
                <w14:textFill>
                  <w14:solidFill>
                    <w14:schemeClr w14:val="tx1"/>
                  </w14:solidFill>
                </w14:textFill>
              </w:rPr>
              <w:t>For precompensation, from RAN1 perspective:</w:t>
            </w:r>
          </w:p>
          <w:p w14:paraId="39569750">
            <w:pPr>
              <w:pStyle w:val="118"/>
              <w:numPr>
                <w:ilvl w:val="0"/>
                <w:numId w:val="13"/>
              </w:numPr>
              <w:overflowPunct w:val="0"/>
              <w:autoSpaceDE w:val="0"/>
              <w:autoSpaceDN w:val="0"/>
              <w:adjustRightInd w:val="0"/>
              <w:textAlignment w:val="baseline"/>
              <w:rPr>
                <w:rFonts w:hint="default" w:ascii="Arial" w:hAnsi="Arial" w:cs="Arial"/>
                <w:color w:val="000000" w:themeColor="text1"/>
                <w:sz w:val="20"/>
                <w:szCs w:val="20"/>
                <w14:textFill>
                  <w14:solidFill>
                    <w14:schemeClr w14:val="tx1"/>
                  </w14:solidFill>
                </w14:textFill>
              </w:rPr>
            </w:pPr>
            <w:r>
              <w:rPr>
                <w:rFonts w:hint="default" w:ascii="Arial" w:hAnsi="Arial" w:cs="Arial"/>
                <w:color w:val="000000" w:themeColor="text1"/>
                <w:sz w:val="20"/>
                <w:szCs w:val="20"/>
                <w14:textFill>
                  <w14:solidFill>
                    <w14:schemeClr w14:val="tx1"/>
                  </w14:solidFill>
                </w14:textFill>
              </w:rPr>
              <w:t>The UE may adjust its time/frequency pre-compensation before the beginning of each set of consecutive 8 uplink subframes. No pre-compensation gap is needed before the beginning of each set of consecutive 8 uplink subframes.</w:t>
            </w:r>
          </w:p>
          <w:p w14:paraId="60FA60DB">
            <w:pPr>
              <w:pStyle w:val="118"/>
              <w:numPr>
                <w:ilvl w:val="0"/>
                <w:numId w:val="13"/>
              </w:numPr>
              <w:overflowPunct w:val="0"/>
              <w:autoSpaceDE w:val="0"/>
              <w:autoSpaceDN w:val="0"/>
              <w:adjustRightInd w:val="0"/>
              <w:textAlignment w:val="baseline"/>
              <w:rPr>
                <w:rFonts w:hint="default" w:ascii="Arial" w:hAnsi="Arial" w:cs="Arial"/>
                <w:color w:val="000000" w:themeColor="text1"/>
                <w:sz w:val="20"/>
                <w:szCs w:val="20"/>
                <w14:textFill>
                  <w14:solidFill>
                    <w14:schemeClr w14:val="tx1"/>
                  </w14:solidFill>
                </w14:textFill>
              </w:rPr>
            </w:pPr>
            <w:r>
              <w:rPr>
                <w:rFonts w:hint="default" w:ascii="Arial" w:hAnsi="Arial" w:cs="Arial"/>
                <w:color w:val="000000" w:themeColor="text1"/>
                <w:sz w:val="20"/>
                <w:szCs w:val="20"/>
                <w14:textFill>
                  <w14:solidFill>
                    <w14:schemeClr w14:val="tx1"/>
                  </w14:solidFill>
                </w14:textFill>
              </w:rPr>
              <w:t>The UE may adjust its time/frequency pre-compensation at the beginning of an NPUSCH/NPRACH transmission (same behavior as Rel-18)</w:t>
            </w:r>
          </w:p>
          <w:p w14:paraId="703EC7BE">
            <w:pPr>
              <w:pStyle w:val="118"/>
              <w:numPr>
                <w:ilvl w:val="1"/>
                <w:numId w:val="13"/>
              </w:numPr>
              <w:overflowPunct w:val="0"/>
              <w:autoSpaceDE w:val="0"/>
              <w:autoSpaceDN w:val="0"/>
              <w:adjustRightInd w:val="0"/>
              <w:textAlignment w:val="baseline"/>
              <w:rPr>
                <w:rFonts w:hint="default" w:ascii="Arial" w:hAnsi="Arial" w:cs="Arial"/>
                <w:color w:val="000000" w:themeColor="text1"/>
                <w:sz w:val="20"/>
                <w:szCs w:val="20"/>
                <w14:textFill>
                  <w14:solidFill>
                    <w14:schemeClr w14:val="tx1"/>
                  </w14:solidFill>
                </w14:textFill>
              </w:rPr>
            </w:pPr>
            <w:r>
              <w:rPr>
                <w:rFonts w:hint="default" w:ascii="Arial" w:hAnsi="Arial" w:cs="Arial"/>
                <w:color w:val="000000" w:themeColor="text1"/>
                <w:sz w:val="20"/>
                <w:szCs w:val="20"/>
                <w14:textFill>
                  <w14:solidFill>
                    <w14:schemeClr w14:val="tx1"/>
                  </w14:solidFill>
                </w14:textFill>
              </w:rPr>
              <w:t>Segmented precompensation is not supported.</w:t>
            </w:r>
          </w:p>
          <w:p w14:paraId="2A9EBE15">
            <w:pPr>
              <w:pStyle w:val="118"/>
              <w:numPr>
                <w:ilvl w:val="1"/>
                <w:numId w:val="13"/>
              </w:numPr>
              <w:overflowPunct w:val="0"/>
              <w:autoSpaceDE w:val="0"/>
              <w:autoSpaceDN w:val="0"/>
              <w:adjustRightInd w:val="0"/>
              <w:textAlignment w:val="baseline"/>
              <w:rPr>
                <w:rFonts w:hint="default" w:ascii="Arial" w:hAnsi="Arial" w:cs="Arial"/>
                <w:color w:val="000000" w:themeColor="text1"/>
                <w:sz w:val="20"/>
                <w:szCs w:val="20"/>
                <w14:textFill>
                  <w14:solidFill>
                    <w14:schemeClr w14:val="tx1"/>
                  </w14:solidFill>
                </w14:textFill>
              </w:rPr>
            </w:pPr>
            <w:r>
              <w:rPr>
                <w:rFonts w:hint="default" w:ascii="Arial" w:hAnsi="Arial" w:cs="Arial"/>
                <w:color w:val="000000" w:themeColor="text1"/>
                <w:sz w:val="20"/>
                <w:szCs w:val="20"/>
                <w14:textFill>
                  <w14:solidFill>
                    <w14:schemeClr w14:val="tx1"/>
                  </w14:solidFill>
                </w14:textFill>
              </w:rPr>
              <w:t>It is not supported to perform precompensation within the set of 8 consecutive uplink subframes other than at the beginning of an NPUSCH/NPRACH transmission</w:t>
            </w:r>
          </w:p>
          <w:p w14:paraId="7A8F7118">
            <w:pPr>
              <w:pStyle w:val="118"/>
              <w:numPr>
                <w:ilvl w:val="0"/>
                <w:numId w:val="13"/>
              </w:numPr>
              <w:overflowPunct w:val="0"/>
              <w:autoSpaceDE w:val="0"/>
              <w:autoSpaceDN w:val="0"/>
              <w:adjustRightInd w:val="0"/>
              <w:textAlignment w:val="baseline"/>
              <w:rPr>
                <w:rFonts w:hint="default" w:ascii="Arial" w:hAnsi="Arial" w:cs="Arial"/>
                <w:color w:val="000000" w:themeColor="text1"/>
                <w:sz w:val="20"/>
                <w:szCs w:val="20"/>
                <w14:textFill>
                  <w14:solidFill>
                    <w14:schemeClr w14:val="tx1"/>
                  </w14:solidFill>
                </w14:textFill>
              </w:rPr>
            </w:pPr>
            <w:r>
              <w:rPr>
                <w:rFonts w:hint="default" w:ascii="Arial" w:hAnsi="Arial" w:cs="Arial"/>
                <w:color w:val="000000" w:themeColor="text1"/>
                <w:sz w:val="20"/>
                <w:szCs w:val="20"/>
                <w14:textFill>
                  <w14:solidFill>
                    <w14:schemeClr w14:val="tx1"/>
                  </w14:solidFill>
                </w14:textFill>
              </w:rPr>
              <w:t>FFS: whether spec impact is in RAN1, RAN4 or both.</w:t>
            </w:r>
          </w:p>
          <w:p w14:paraId="45D9CBD9">
            <w:pPr>
              <w:overflowPunct w:val="0"/>
              <w:autoSpaceDE w:val="0"/>
              <w:autoSpaceDN w:val="0"/>
              <w:adjustRightInd w:val="0"/>
              <w:textAlignment w:val="baseline"/>
              <w:rPr>
                <w:rFonts w:hint="default" w:ascii="Arial" w:hAnsi="Arial" w:cs="Arial"/>
                <w:color w:val="FF0000"/>
                <w:szCs w:val="20"/>
              </w:rPr>
            </w:pPr>
            <w:r>
              <w:rPr>
                <w:rFonts w:hint="default" w:ascii="Arial" w:hAnsi="Arial" w:cs="Arial"/>
                <w:color w:val="000000" w:themeColor="text1"/>
                <w:szCs w:val="20"/>
                <w14:textFill>
                  <w14:solidFill>
                    <w14:schemeClr w14:val="tx1"/>
                  </w14:solidFill>
                </w14:textFill>
              </w:rPr>
              <w:t>NOTE: RAN1 may revisit this agreement if RAN4 reply LS shows concerns, including concerns on meeting the requirements without segmented precompensation</w:t>
            </w:r>
          </w:p>
          <w:p w14:paraId="0D2CF65B">
            <w:pPr>
              <w:overflowPunct w:val="0"/>
              <w:autoSpaceDE w:val="0"/>
              <w:autoSpaceDN w:val="0"/>
              <w:adjustRightInd w:val="0"/>
              <w:textAlignment w:val="baseline"/>
              <w:rPr>
                <w:rFonts w:hint="default" w:ascii="Arial" w:hAnsi="Arial" w:cs="Arial"/>
                <w:color w:val="FF0000"/>
                <w:szCs w:val="20"/>
              </w:rPr>
            </w:pPr>
          </w:p>
          <w:p w14:paraId="109D1A75">
            <w:pPr>
              <w:pStyle w:val="119"/>
              <w:rPr>
                <w:rFonts w:hint="default" w:ascii="Arial" w:hAnsi="Arial" w:eastAsia="Times New Roman" w:cs="Arial"/>
                <w:b/>
                <w:lang w:eastAsia="zh-CN"/>
              </w:rPr>
            </w:pPr>
            <w:r>
              <w:rPr>
                <w:rFonts w:hint="default" w:ascii="Arial" w:hAnsi="Arial" w:eastAsia="Times New Roman" w:cs="Arial"/>
                <w:b/>
                <w:highlight w:val="green"/>
                <w:lang w:eastAsia="zh-CN"/>
              </w:rPr>
              <w:t>Agreement</w:t>
            </w:r>
          </w:p>
          <w:p w14:paraId="273A7123">
            <w:pPr>
              <w:pStyle w:val="119"/>
              <w:rPr>
                <w:rFonts w:hint="default" w:ascii="Arial" w:hAnsi="Arial" w:eastAsia="Times New Roman" w:cs="Arial"/>
                <w:lang w:eastAsia="zh-CN"/>
              </w:rPr>
            </w:pPr>
            <w:r>
              <w:rPr>
                <w:rFonts w:hint="default" w:ascii="Arial" w:hAnsi="Arial" w:eastAsia="Times New Roman" w:cs="Arial"/>
                <w:lang w:eastAsia="zh-CN"/>
              </w:rPr>
              <w:t>For the issue of handling DL gaps in NB-IoT NTN TDD mode:</w:t>
            </w:r>
          </w:p>
          <w:p w14:paraId="7B001492">
            <w:pPr>
              <w:numPr>
                <w:ilvl w:val="0"/>
                <w:numId w:val="11"/>
              </w:numPr>
              <w:overflowPunct w:val="0"/>
              <w:autoSpaceDE w:val="0"/>
              <w:autoSpaceDN w:val="0"/>
              <w:adjustRightInd w:val="0"/>
              <w:contextualSpacing/>
              <w:textAlignment w:val="baseline"/>
              <w:rPr>
                <w:rFonts w:hint="default" w:ascii="Arial" w:hAnsi="Arial" w:cs="Arial"/>
                <w:szCs w:val="20"/>
                <w:lang w:eastAsia="zh-CN"/>
              </w:rPr>
            </w:pPr>
            <w:r>
              <w:rPr>
                <w:rFonts w:hint="default" w:ascii="Arial" w:hAnsi="Arial" w:cs="Arial"/>
                <w:szCs w:val="20"/>
                <w:lang w:eastAsia="zh-CN"/>
              </w:rPr>
              <w:t>DL gaps apply based on current specifications, with the following modification:</w:t>
            </w:r>
          </w:p>
          <w:p w14:paraId="1033F8E3">
            <w:pPr>
              <w:numPr>
                <w:ilvl w:val="0"/>
                <w:numId w:val="14"/>
              </w:numPr>
              <w:overflowPunct w:val="0"/>
              <w:autoSpaceDE w:val="0"/>
              <w:autoSpaceDN w:val="0"/>
              <w:adjustRightInd w:val="0"/>
              <w:contextualSpacing/>
              <w:textAlignment w:val="baseline"/>
              <w:rPr>
                <w:bCs/>
                <w:sz w:val="20"/>
                <w:szCs w:val="20"/>
                <w:lang w:eastAsia="ko-KR"/>
              </w:rPr>
            </w:pPr>
            <w:r>
              <w:rPr>
                <w:rFonts w:hint="default" w:ascii="Arial" w:hAnsi="Arial" w:cs="Arial"/>
                <w:szCs w:val="20"/>
                <w:lang w:eastAsia="zh-CN"/>
              </w:rPr>
              <w:t>dl-GapPeriodicity with a value of “sf1024” is supported instead of the value of “sf64”</w:t>
            </w:r>
          </w:p>
          <w:p w14:paraId="5BF2BAD1">
            <w:pPr>
              <w:numPr>
                <w:ilvl w:val="0"/>
                <w:numId w:val="0"/>
              </w:numPr>
              <w:overflowPunct w:val="0"/>
              <w:autoSpaceDE w:val="0"/>
              <w:autoSpaceDN w:val="0"/>
              <w:adjustRightInd w:val="0"/>
              <w:ind w:left="360" w:leftChars="0"/>
              <w:contextualSpacing/>
              <w:textAlignment w:val="baseline"/>
              <w:rPr>
                <w:rFonts w:hint="eastAsia" w:cs="Arial" w:eastAsiaTheme="minorEastAsia"/>
                <w:vertAlign w:val="baseline"/>
              </w:rPr>
            </w:pPr>
          </w:p>
        </w:tc>
      </w:tr>
    </w:tbl>
    <w:p w14:paraId="7ED86070">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w:t>
      </w:r>
      <w:r>
        <w:rPr>
          <w:rFonts w:hint="eastAsia" w:eastAsia="宋体" w:cs="Arial"/>
          <w:lang w:val="en-US" w:eastAsia="zh-CN"/>
        </w:rPr>
        <w:t>the remaining issues for IoT-NTN TDD mode</w:t>
      </w:r>
      <w:r>
        <w:rPr>
          <w:rFonts w:hint="eastAsia" w:cs="Arial" w:eastAsiaTheme="minorEastAsia"/>
        </w:rPr>
        <w:t>.</w:t>
      </w:r>
    </w:p>
    <w:p w14:paraId="18241F72">
      <w:pPr>
        <w:pStyle w:val="2"/>
        <w:rPr>
          <w:rFonts w:hint="default" w:cs="Arial"/>
          <w:sz w:val="32"/>
          <w:szCs w:val="32"/>
          <w:lang w:val="en-US" w:eastAsia="zh-CN"/>
        </w:rPr>
      </w:pPr>
      <w:r>
        <w:rPr>
          <w:rFonts w:cs="Arial"/>
          <w:sz w:val="32"/>
          <w:szCs w:val="32"/>
        </w:rPr>
        <w:t>Discussion</w:t>
      </w:r>
      <w:bookmarkStart w:id="2" w:name="_Hlk41985036"/>
    </w:p>
    <w:p w14:paraId="55D22D38">
      <w:pPr>
        <w:pStyle w:val="3"/>
        <w:bidi w:val="0"/>
        <w:rPr>
          <w:rFonts w:hint="default"/>
          <w:b/>
          <w:bCs/>
          <w:sz w:val="24"/>
          <w:szCs w:val="24"/>
          <w:lang w:val="en-US" w:eastAsia="zh-CN"/>
        </w:rPr>
      </w:pPr>
      <w:r>
        <w:rPr>
          <w:rFonts w:hint="eastAsia"/>
          <w:b/>
          <w:bCs/>
          <w:sz w:val="24"/>
          <w:szCs w:val="24"/>
          <w:lang w:val="en-US" w:eastAsia="zh-CN"/>
        </w:rPr>
        <w:t xml:space="preserve"> Open issue CAP-1: IoT-NTN TDD mode capability type</w:t>
      </w:r>
    </w:p>
    <w:p w14:paraId="59DEC02B">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As in the RAN1 LS [3], it indicates that </w:t>
      </w:r>
      <w:r>
        <w:rPr>
          <w:lang w:val="en-GB" w:eastAsia="en-US"/>
        </w:rPr>
        <w:t>IoT</w:t>
      </w:r>
      <w:r>
        <w:rPr>
          <w:rFonts w:hint="eastAsia" w:eastAsia="宋体"/>
          <w:lang w:val="en-US" w:eastAsia="zh-CN"/>
        </w:rPr>
        <w:t>-</w:t>
      </w:r>
      <w:r>
        <w:rPr>
          <w:lang w:val="en-GB" w:eastAsia="en-US"/>
        </w:rPr>
        <w:t>NTN TDD mode capability type</w:t>
      </w:r>
      <w:r>
        <w:rPr>
          <w:rFonts w:hint="eastAsia" w:eastAsia="宋体"/>
          <w:lang w:val="en-US" w:eastAsia="zh-CN"/>
        </w:rPr>
        <w:t xml:space="preserve"> is optional without capability signalling. And there is also a note in the LS that UE supporting band 249 must support this FG. Considering that I</w:t>
      </w:r>
      <w:r>
        <w:rPr>
          <w:lang w:val="en-GB" w:eastAsia="en-US"/>
        </w:rPr>
        <w:t>oT</w:t>
      </w:r>
      <w:r>
        <w:rPr>
          <w:rFonts w:hint="eastAsia" w:eastAsia="宋体"/>
          <w:lang w:val="en-US" w:eastAsia="zh-CN"/>
        </w:rPr>
        <w:t>-</w:t>
      </w:r>
      <w:r>
        <w:rPr>
          <w:lang w:val="en-GB" w:eastAsia="en-US"/>
        </w:rPr>
        <w:t>NTN TDD is only supported in band n249</w:t>
      </w:r>
      <w:r>
        <w:rPr>
          <w:rFonts w:hint="eastAsia" w:eastAsia="宋体"/>
          <w:lang w:val="en-US" w:eastAsia="zh-CN"/>
        </w:rPr>
        <w:t xml:space="preserve">, which means </w:t>
      </w:r>
      <w:r>
        <w:rPr>
          <w:lang w:val="en-GB" w:eastAsia="en-US"/>
        </w:rPr>
        <w:t>the UE suppor</w:t>
      </w:r>
      <w:r>
        <w:rPr>
          <w:rFonts w:hint="eastAsia" w:eastAsia="宋体"/>
          <w:lang w:val="en-US" w:eastAsia="zh-CN"/>
        </w:rPr>
        <w:t>ts band 249 and IoT-NTN TDD is a binding relationship. Therefore it is proposed to support the IoT-NTN TDD mode with a conditionally mandatory capability type as in the latest 36.306 running CR.</w:t>
      </w:r>
    </w:p>
    <w:p w14:paraId="78E2345D">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1: (CAP-1) It is proposed to support the IoT-NTN TDD mode with a conditionally mandatory capability type as in the latest 36.306 running CR.</w:t>
      </w:r>
    </w:p>
    <w:p w14:paraId="4ADF9039">
      <w:pPr>
        <w:pStyle w:val="3"/>
        <w:bidi w:val="0"/>
        <w:rPr>
          <w:rFonts w:hint="default"/>
          <w:b/>
          <w:bCs/>
          <w:sz w:val="24"/>
          <w:szCs w:val="24"/>
          <w:lang w:val="en-US" w:eastAsia="zh-CN"/>
        </w:rPr>
      </w:pPr>
      <w:r>
        <w:rPr>
          <w:rFonts w:hint="eastAsia"/>
          <w:b/>
          <w:bCs/>
          <w:sz w:val="24"/>
          <w:szCs w:val="24"/>
          <w:lang w:val="en-US" w:eastAsia="zh-CN"/>
        </w:rPr>
        <w:t xml:space="preserve"> k-Mac extension</w:t>
      </w:r>
    </w:p>
    <w:p w14:paraId="4817BB14">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It is supported to extend k-Mac up to 1023ms for IoT-NTN TDD, and FFS extending this to IoT NTN and NR NTN. And there were some discussions in last meeting without convergence.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AC3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B15E30C">
            <w:pPr>
              <w:pStyle w:val="111"/>
            </w:pPr>
            <w:r>
              <w:t>Proposal 1</w:t>
            </w:r>
            <w:r>
              <w:tab/>
            </w:r>
            <w:r>
              <w:t>For NR NTN, support k-Mac with a value range up to 1023 ms for Rel-19</w:t>
            </w:r>
          </w:p>
          <w:p w14:paraId="66E92BF9">
            <w:pPr>
              <w:pStyle w:val="54"/>
              <w:numPr>
                <w:ilvl w:val="0"/>
                <w:numId w:val="15"/>
              </w:numPr>
            </w:pPr>
            <w:r>
              <w:t>Xiaomi thinks we should think about backward compatibility issues</w:t>
            </w:r>
          </w:p>
          <w:p w14:paraId="6D784457">
            <w:pPr>
              <w:pStyle w:val="54"/>
              <w:numPr>
                <w:ilvl w:val="0"/>
                <w:numId w:val="15"/>
              </w:numPr>
            </w:pPr>
            <w:r>
              <w:t xml:space="preserve">Samsung would support this if combined with the introduction of a new barring bit. ZTE tends to agree </w:t>
            </w:r>
          </w:p>
          <w:p w14:paraId="68BA8FF7">
            <w:pPr>
              <w:pStyle w:val="54"/>
              <w:numPr>
                <w:ilvl w:val="0"/>
                <w:numId w:val="15"/>
              </w:numPr>
            </w:pPr>
            <w:r>
              <w:t>QC would also like to understand which deployment would really need this</w:t>
            </w:r>
          </w:p>
          <w:p w14:paraId="7CFDF491">
            <w:pPr>
              <w:pStyle w:val="107"/>
              <w:rPr>
                <w:rFonts w:hint="eastAsia" w:eastAsiaTheme="minorEastAsia"/>
                <w:b w:val="0"/>
                <w:bCs w:val="0"/>
                <w:sz w:val="20"/>
                <w:szCs w:val="20"/>
                <w:vertAlign w:val="baseline"/>
                <w:lang w:val="en-US" w:eastAsia="zh-CN"/>
              </w:rPr>
            </w:pPr>
            <w:r>
              <w:t>Can come back to this in the next meeting</w:t>
            </w:r>
          </w:p>
        </w:tc>
      </w:tr>
    </w:tbl>
    <w:p w14:paraId="7D678246">
      <w:pPr>
        <w:pStyle w:val="60"/>
        <w:spacing w:after="0"/>
        <w:ind w:left="0" w:firstLine="0"/>
        <w:rPr>
          <w:rFonts w:hint="default" w:eastAsiaTheme="minorEastAsia"/>
          <w:b/>
          <w:bCs/>
          <w:sz w:val="20"/>
          <w:szCs w:val="20"/>
          <w:lang w:val="en-US" w:eastAsia="zh-CN"/>
        </w:rPr>
      </w:pPr>
      <w:r>
        <w:rPr>
          <w:rFonts w:hint="eastAsia" w:eastAsiaTheme="minorEastAsia"/>
          <w:b w:val="0"/>
          <w:bCs w:val="0"/>
          <w:sz w:val="20"/>
          <w:szCs w:val="20"/>
          <w:lang w:val="en-US" w:eastAsia="zh-CN"/>
        </w:rPr>
        <w:t>From our perspective, we need to limit the discussion to the IoT-NTN TDD, and at least for now, there is no need to extend the k-Mac for IoT NTN and NR NTN considering that we have considered both transparent and regenerative architecture related scenarios in R17 and R18 to define the value ranges of k-Mac.</w:t>
      </w:r>
    </w:p>
    <w:p w14:paraId="691DF193">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2: No need to extend the k-Mac for IoT NTN and NR NTN.</w:t>
      </w:r>
    </w:p>
    <w:p w14:paraId="124C26AC">
      <w:pPr>
        <w:pStyle w:val="3"/>
        <w:bidi w:val="0"/>
        <w:rPr>
          <w:rFonts w:hint="default"/>
          <w:b/>
          <w:bCs/>
          <w:sz w:val="24"/>
          <w:szCs w:val="24"/>
          <w:lang w:val="en-US" w:eastAsia="zh-CN"/>
        </w:rPr>
      </w:pPr>
      <w:r>
        <w:rPr>
          <w:rFonts w:hint="eastAsia" w:eastAsia="宋体" w:cs="Arial"/>
          <w:b/>
          <w:bCs/>
          <w:sz w:val="24"/>
          <w:szCs w:val="24"/>
          <w:lang w:val="en-US" w:eastAsia="zh-CN"/>
        </w:rPr>
        <w:t xml:space="preserve"> </w:t>
      </w:r>
      <w:r>
        <w:rPr>
          <w:rFonts w:hint="eastAsia"/>
          <w:b/>
          <w:bCs/>
          <w:sz w:val="24"/>
          <w:szCs w:val="24"/>
          <w:lang w:val="en-US" w:eastAsia="zh-CN"/>
        </w:rPr>
        <w:t>Start time of SI-window</w:t>
      </w:r>
    </w:p>
    <w:p w14:paraId="2E75BD7B">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As in the current TS 36.331, for NB-IoT UE, the related SI window determination is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870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802CEE">
            <w:pPr>
              <w:pStyle w:val="4"/>
              <w:numPr>
                <w:ilvl w:val="1"/>
                <w:numId w:val="0"/>
              </w:numPr>
              <w:ind w:left="142" w:leftChars="0"/>
            </w:pPr>
            <w:bookmarkStart w:id="3" w:name="_Toc37081836"/>
            <w:bookmarkStart w:id="4" w:name="_Toc46482929"/>
            <w:bookmarkStart w:id="5" w:name="_Toc20486752"/>
            <w:bookmarkStart w:id="6" w:name="_Toc46481695"/>
            <w:bookmarkStart w:id="7" w:name="_Toc36566431"/>
            <w:bookmarkStart w:id="8" w:name="_Toc185640088"/>
            <w:bookmarkStart w:id="9" w:name="_Toc46480461"/>
            <w:bookmarkStart w:id="10" w:name="_Toc29343183"/>
            <w:bookmarkStart w:id="11" w:name="_Toc29342044"/>
            <w:bookmarkStart w:id="12" w:name="_Toc36846204"/>
            <w:bookmarkStart w:id="13" w:name="_Toc36938857"/>
            <w:bookmarkStart w:id="14" w:name="_Toc36809840"/>
            <w:r>
              <w:t>5.2.3a</w:t>
            </w:r>
            <w:r>
              <w:tab/>
            </w:r>
            <w:r>
              <w:t>Acquisition of an SI message by BL UE or UE in CE or a NB-IoT UE</w:t>
            </w:r>
            <w:bookmarkEnd w:id="3"/>
            <w:bookmarkEnd w:id="4"/>
            <w:bookmarkEnd w:id="5"/>
            <w:bookmarkEnd w:id="6"/>
            <w:bookmarkEnd w:id="7"/>
            <w:bookmarkEnd w:id="8"/>
            <w:bookmarkEnd w:id="9"/>
            <w:bookmarkEnd w:id="10"/>
            <w:bookmarkEnd w:id="11"/>
            <w:bookmarkEnd w:id="12"/>
            <w:bookmarkEnd w:id="13"/>
            <w:bookmarkEnd w:id="14"/>
          </w:p>
          <w:p w14:paraId="08E6A85C">
            <w:r>
              <w:t>When acquiring an SI message, the BL UE or UE in CE or NB-IoT UE shall:</w:t>
            </w:r>
          </w:p>
          <w:p w14:paraId="49DEA3B7">
            <w:pPr>
              <w:pStyle w:val="60"/>
              <w:numPr>
                <w:ilvl w:val="0"/>
                <w:numId w:val="16"/>
              </w:numPr>
            </w:pPr>
            <w:r>
              <w:t>determine the start of the SI-window for the concerned SI message as follows:</w:t>
            </w:r>
          </w:p>
          <w:p w14:paraId="262529CD">
            <w:pPr>
              <w:pStyle w:val="61"/>
            </w:pPr>
            <w:r>
              <w:t>2&gt;</w:t>
            </w:r>
            <w:r>
              <w:tab/>
            </w:r>
            <w:r>
              <w:t xml:space="preserve">if the concerned SI message is configured in the </w:t>
            </w:r>
            <w:r>
              <w:rPr>
                <w:i/>
                <w:iCs/>
              </w:rPr>
              <w:t>schedulingInfoList</w:t>
            </w:r>
            <w:r>
              <w:t xml:space="preserve">, </w:t>
            </w:r>
            <w:r>
              <w:rPr>
                <w:i/>
              </w:rPr>
              <w:t>schedulingInfoListExt</w:t>
            </w:r>
            <w:r>
              <w:t xml:space="preserve"> (if present) or if the concerned SI message is configured in the </w:t>
            </w:r>
            <w:r>
              <w:rPr>
                <w:i/>
              </w:rPr>
              <w:t>posSchedulingInfoList</w:t>
            </w:r>
            <w:r>
              <w:t xml:space="preserve"> and </w:t>
            </w:r>
            <w:r>
              <w:rPr>
                <w:i/>
                <w:iCs/>
              </w:rPr>
              <w:t>si-posOffset</w:t>
            </w:r>
            <w:r>
              <w:t xml:space="preserve"> is not configured;</w:t>
            </w:r>
          </w:p>
          <w:p w14:paraId="55E1AF69">
            <w:pPr>
              <w:pStyle w:val="62"/>
            </w:pPr>
            <w:r>
              <w:t>3&gt;</w:t>
            </w:r>
            <w:r>
              <w:tab/>
            </w:r>
            <w:r>
              <w:t xml:space="preserve">for the concerned SI message, determine the number </w:t>
            </w:r>
            <w:r>
              <w:rPr>
                <w:i/>
                <w:iCs/>
              </w:rPr>
              <w:t>n</w:t>
            </w:r>
            <w:r>
              <w:t xml:space="preserve"> which corresponds to the order of entry in the concatenated list of SI messages configured by </w:t>
            </w:r>
            <w:r>
              <w:rPr>
                <w:i/>
                <w:iCs/>
              </w:rPr>
              <w:t>schedulingInfoList</w:t>
            </w:r>
            <w:r>
              <w:rPr>
                <w:iCs/>
              </w:rPr>
              <w:t xml:space="preserve">, </w:t>
            </w:r>
            <w:r>
              <w:rPr>
                <w:i/>
                <w:iCs/>
              </w:rPr>
              <w:t xml:space="preserve">schedulingInfoListExt </w:t>
            </w:r>
            <w:r>
              <w:rPr>
                <w:iCs/>
              </w:rPr>
              <w:t>(if present)</w:t>
            </w:r>
            <w:r>
              <w:t xml:space="preserve"> in </w:t>
            </w:r>
            <w:r>
              <w:rPr>
                <w:i/>
                <w:iCs/>
              </w:rPr>
              <w:t xml:space="preserve">SystemInformationBlockType1-BR </w:t>
            </w:r>
            <w:r>
              <w:t>(or</w:t>
            </w:r>
            <w:r>
              <w:rPr>
                <w:i/>
                <w:iCs/>
              </w:rPr>
              <w:t xml:space="preserve"> SystemInformationBlockType1-NB </w:t>
            </w:r>
            <w:r>
              <w:rPr>
                <w:iCs/>
              </w:rPr>
              <w:t xml:space="preserve">in NB-IoT) </w:t>
            </w:r>
            <w:r>
              <w:t xml:space="preserve">and </w:t>
            </w:r>
            <w:r>
              <w:rPr>
                <w:i/>
              </w:rPr>
              <w:t>posSchedulingInfoList</w:t>
            </w:r>
            <w:r>
              <w:t xml:space="preserve"> in </w:t>
            </w:r>
            <w:r>
              <w:rPr>
                <w:i/>
                <w:iCs/>
              </w:rPr>
              <w:t>SystemInformationBlockType1-BR</w:t>
            </w:r>
            <w:r>
              <w:t>;</w:t>
            </w:r>
          </w:p>
          <w:p w14:paraId="7EF92EAB">
            <w:pPr>
              <w:pStyle w:val="62"/>
            </w:pPr>
            <w:r>
              <w:t>3&gt;</w:t>
            </w:r>
            <w:r>
              <w:tab/>
            </w:r>
            <w:r>
              <w:t xml:space="preserve">determine the integer value </w:t>
            </w:r>
            <w:r>
              <w:rPr>
                <w:i/>
                <w:iCs/>
              </w:rPr>
              <w:t>x</w:t>
            </w:r>
            <w:r>
              <w:t xml:space="preserve"> = (</w:t>
            </w:r>
            <w:r>
              <w:rPr>
                <w:i/>
                <w:iCs/>
              </w:rPr>
              <w:t>n</w:t>
            </w:r>
            <w:r>
              <w:t xml:space="preserve"> – 1)*</w:t>
            </w:r>
            <w:r>
              <w:rPr>
                <w:i/>
                <w:iCs/>
              </w:rPr>
              <w:t>w</w:t>
            </w:r>
            <w:r>
              <w:t xml:space="preserve">, where </w:t>
            </w:r>
            <w:r>
              <w:rPr>
                <w:i/>
                <w:iCs/>
              </w:rPr>
              <w:t>w</w:t>
            </w:r>
            <w:r>
              <w:t xml:space="preserve"> is the </w:t>
            </w:r>
            <w:r>
              <w:rPr>
                <w:i/>
                <w:iCs/>
              </w:rPr>
              <w:t>si-WindowLength-BR</w:t>
            </w:r>
            <w:r>
              <w:rPr>
                <w:iCs/>
              </w:rPr>
              <w:t xml:space="preserve"> (or</w:t>
            </w:r>
            <w:r>
              <w:rPr>
                <w:i/>
                <w:iCs/>
              </w:rPr>
              <w:t xml:space="preserve"> si-WindowLength</w:t>
            </w:r>
            <w:r>
              <w:rPr>
                <w:iCs/>
              </w:rPr>
              <w:t xml:space="preserve"> in NB-IoT)</w:t>
            </w:r>
            <w:r>
              <w:t>;</w:t>
            </w:r>
          </w:p>
          <w:p w14:paraId="2C7C0702">
            <w:pPr>
              <w:pStyle w:val="62"/>
              <w:rPr>
                <w:highlight w:val="yellow"/>
              </w:rPr>
            </w:pPr>
            <w:r>
              <w:rPr>
                <w:highlight w:val="yellow"/>
              </w:rPr>
              <w:t>3&gt;</w:t>
            </w:r>
            <w:r>
              <w:rPr>
                <w:highlight w:val="yellow"/>
              </w:rPr>
              <w:tab/>
            </w:r>
            <w:r>
              <w:rPr>
                <w:highlight w:val="yellow"/>
              </w:rPr>
              <w:t>if the UE is a NB-IoT UE:</w:t>
            </w:r>
          </w:p>
          <w:p w14:paraId="402A394F">
            <w:pPr>
              <w:pStyle w:val="63"/>
            </w:pPr>
            <w:r>
              <w:t>4&gt;</w:t>
            </w:r>
            <w:r>
              <w:rPr>
                <w:highlight w:val="yellow"/>
              </w:rPr>
              <w:tab/>
            </w:r>
            <w:r>
              <w:rPr>
                <w:highlight w:val="yellow"/>
                <w:lang w:eastAsia="zh-CN"/>
              </w:rPr>
              <w:t xml:space="preserve">the SI-window starts at the subframe #0 in the radio frame for which (H-SFN * 1024 + SFN) mod </w:t>
            </w:r>
            <w:r>
              <w:rPr>
                <w:i/>
                <w:highlight w:val="yellow"/>
                <w:lang w:eastAsia="zh-CN"/>
              </w:rPr>
              <w:t>T</w:t>
            </w:r>
            <w:r>
              <w:rPr>
                <w:highlight w:val="yellow"/>
                <w:lang w:eastAsia="zh-CN"/>
              </w:rPr>
              <w:t xml:space="preserve"> = FLOOR(</w:t>
            </w:r>
            <w:r>
              <w:rPr>
                <w:i/>
                <w:iCs/>
                <w:highlight w:val="yellow"/>
                <w:lang w:eastAsia="zh-CN"/>
              </w:rPr>
              <w:t>x</w:t>
            </w:r>
            <w:r>
              <w:rPr>
                <w:highlight w:val="yellow"/>
                <w:lang w:eastAsia="zh-CN"/>
              </w:rPr>
              <w:t xml:space="preserve">/10) + Offset, where </w:t>
            </w:r>
            <w:r>
              <w:rPr>
                <w:i/>
                <w:highlight w:val="yellow"/>
                <w:lang w:eastAsia="zh-CN"/>
              </w:rPr>
              <w:t>T</w:t>
            </w:r>
            <w:r>
              <w:rPr>
                <w:highlight w:val="yellow"/>
                <w:lang w:eastAsia="zh-CN"/>
              </w:rPr>
              <w:t xml:space="preserve"> is the </w:t>
            </w:r>
            <w:r>
              <w:rPr>
                <w:i/>
                <w:iCs/>
                <w:highlight w:val="yellow"/>
                <w:lang w:eastAsia="zh-CN"/>
              </w:rPr>
              <w:t>si-Periodicity</w:t>
            </w:r>
            <w:r>
              <w:rPr>
                <w:highlight w:val="yellow"/>
                <w:lang w:eastAsia="zh-CN"/>
              </w:rPr>
              <w:t xml:space="preserve"> of the concerned SI message and, Offset is the offset of the start of the SI-Window (</w:t>
            </w:r>
            <w:r>
              <w:rPr>
                <w:i/>
                <w:highlight w:val="yellow"/>
                <w:lang w:eastAsia="zh-CN"/>
              </w:rPr>
              <w:t>si-RadioFrameOffset</w:t>
            </w:r>
            <w:r>
              <w:rPr>
                <w:highlight w:val="yellow"/>
                <w:lang w:eastAsia="zh-CN"/>
              </w:rPr>
              <w:t>);</w:t>
            </w:r>
          </w:p>
          <w:p w14:paraId="2C4B4688">
            <w:pPr>
              <w:pStyle w:val="60"/>
              <w:numPr>
                <w:ilvl w:val="0"/>
                <w:numId w:val="0"/>
              </w:numPr>
              <w:ind w:left="284" w:leftChars="0"/>
              <w:rPr>
                <w:rFonts w:hint="default" w:eastAsiaTheme="minorEastAsia"/>
                <w:b w:val="0"/>
                <w:bCs w:val="0"/>
                <w:sz w:val="20"/>
                <w:szCs w:val="20"/>
                <w:vertAlign w:val="baseline"/>
                <w:lang w:val="en-US" w:eastAsia="zh-CN"/>
              </w:rPr>
            </w:pPr>
            <w:r>
              <w:rPr>
                <w:rFonts w:hint="eastAsia" w:eastAsia="宋体"/>
                <w:highlight w:val="lightGray"/>
                <w:lang w:val="en-US" w:eastAsia="zh-CN"/>
              </w:rPr>
              <w:t>&lt;&lt;omitted&gt;&gt;</w:t>
            </w:r>
          </w:p>
        </w:tc>
      </w:tr>
    </w:tbl>
    <w:p w14:paraId="63703B2F">
      <w:pPr>
        <w:pStyle w:val="60"/>
        <w:spacing w:after="0"/>
        <w:ind w:left="0" w:firstLine="0"/>
        <w:rPr>
          <w:rFonts w:hint="default" w:eastAsia="宋体"/>
          <w:i w:val="0"/>
          <w:iCs w:val="0"/>
          <w:lang w:val="en-US" w:eastAsia="zh-CN"/>
        </w:rPr>
      </w:pPr>
      <w:r>
        <w:rPr>
          <w:rFonts w:hint="eastAsia" w:eastAsia="宋体"/>
          <w:i w:val="0"/>
          <w:iCs w:val="0"/>
          <w:lang w:val="en-US" w:eastAsia="zh-CN"/>
        </w:rPr>
        <w:t xml:space="preserve">Regarding the starting point of the SI-window for the new TDD pattern with </w:t>
      </w:r>
      <w:r>
        <w:rPr>
          <w:rFonts w:hint="eastAsia" w:eastAsiaTheme="minorEastAsia"/>
          <w:b w:val="0"/>
          <w:bCs w:val="0"/>
          <w:sz w:val="20"/>
          <w:szCs w:val="20"/>
          <w:lang w:val="en-US" w:eastAsia="zh-CN"/>
        </w:rPr>
        <w:t>only 8 consecutive DL subframes in every 9 radio frames. P</w:t>
      </w:r>
      <w:r>
        <w:rPr>
          <w:rFonts w:hint="eastAsia" w:eastAsia="宋体"/>
          <w:szCs w:val="20"/>
          <w:lang w:val="en-US" w:eastAsia="zh-CN"/>
        </w:rPr>
        <w:t xml:space="preserve">er the agreement of RAN1 #120, the downlink subframes within D=8 are fixed to [3 4 5 6 7 8 9 0] (across two consecutive radio frames), which would lead to that </w:t>
      </w:r>
      <w:r>
        <w:rPr>
          <w:rFonts w:hint="eastAsia" w:eastAsia="宋体"/>
          <w:i w:val="0"/>
          <w:iCs w:val="0"/>
          <w:lang w:val="en-US" w:eastAsia="zh-CN"/>
        </w:rPr>
        <w:t>the actual calculated SI-window starting subframe #0 may not be used. And to minimize the specification impact, we could consider to postpone the start point of the SI-window to the next valid subframe.</w:t>
      </w:r>
    </w:p>
    <w:p w14:paraId="4E4E5D45">
      <w:pPr>
        <w:pStyle w:val="60"/>
        <w:spacing w:after="0"/>
        <w:ind w:left="0" w:firstLine="0"/>
        <w:rPr>
          <w:rFonts w:hint="eastAsia" w:eastAsiaTheme="minorEastAsia"/>
          <w:b/>
          <w:bCs/>
          <w:sz w:val="20"/>
          <w:szCs w:val="20"/>
          <w:lang w:val="en-US" w:eastAsia="zh-CN"/>
        </w:rPr>
      </w:pPr>
      <w:r>
        <w:rPr>
          <w:rFonts w:hint="eastAsia" w:eastAsia="宋体"/>
          <w:b/>
          <w:bCs/>
          <w:lang w:val="en-US" w:eastAsia="zh-CN"/>
        </w:rPr>
        <w:t>Proposal 3: If the calculated subframe is invalid, the start time of the SI-window could be postponed to the next valid DL subframe.</w:t>
      </w:r>
    </w:p>
    <w:p w14:paraId="0FA3360F">
      <w:pPr>
        <w:pStyle w:val="3"/>
        <w:bidi w:val="0"/>
        <w:rPr>
          <w:rFonts w:hint="eastAsia" w:eastAsiaTheme="minorEastAsia"/>
          <w:b w:val="0"/>
          <w:bCs w:val="0"/>
          <w:sz w:val="24"/>
          <w:szCs w:val="24"/>
          <w:lang w:val="en-US" w:eastAsia="zh-CN"/>
        </w:rPr>
      </w:pPr>
      <w:r>
        <w:rPr>
          <w:rFonts w:hint="eastAsia" w:eastAsia="宋体" w:cs="Arial"/>
          <w:b/>
          <w:bCs/>
          <w:sz w:val="24"/>
          <w:szCs w:val="24"/>
          <w:lang w:val="en-US" w:eastAsia="zh-CN"/>
        </w:rPr>
        <w:t xml:space="preserve"> </w:t>
      </w:r>
      <w:r>
        <w:rPr>
          <w:rFonts w:hint="eastAsia"/>
          <w:b/>
          <w:bCs/>
          <w:sz w:val="24"/>
          <w:szCs w:val="24"/>
          <w:lang w:val="en-US" w:eastAsia="zh-CN"/>
        </w:rPr>
        <w:t>Times with unit of pp (PDCCH periods)</w:t>
      </w:r>
    </w:p>
    <w:p w14:paraId="2794416A">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In RAN2 129bis meeting, we agreed to reuse the existing value ranges of the timers in unit of pp. FFS on the possible clarification to take into account the impact of invalid subframes. Some companies indicate online that </w:t>
      </w:r>
      <w:r>
        <w:rPr>
          <w:lang w:eastAsia="zh-CN"/>
        </w:rPr>
        <w:t>the</w:t>
      </w:r>
      <w:r>
        <w:rPr>
          <w:rFonts w:hint="eastAsia"/>
          <w:lang w:val="en-US" w:eastAsia="zh-CN"/>
        </w:rPr>
        <w:t xml:space="preserve"> </w:t>
      </w:r>
      <w:r>
        <w:rPr>
          <w:lang w:eastAsia="zh-CN"/>
        </w:rPr>
        <w:t xml:space="preserve">invalid subframes </w:t>
      </w:r>
      <w:r>
        <w:rPr>
          <w:rFonts w:hint="eastAsia"/>
          <w:lang w:val="en-US" w:eastAsia="zh-CN"/>
        </w:rPr>
        <w:t>is a general issue for NB-IoT, which is not a IoT-NTN TDD specific issue. However, compared to the new IoT-NTN TDD pattern, there might be much shorter/fewer invalid subframes for legacy NB-IoT. And m</w:t>
      </w:r>
      <w:r>
        <w:rPr>
          <w:rFonts w:hint="eastAsia" w:eastAsiaTheme="minorEastAsia"/>
          <w:b w:val="0"/>
          <w:bCs w:val="0"/>
          <w:sz w:val="20"/>
          <w:szCs w:val="20"/>
          <w:lang w:val="en-US" w:eastAsia="zh-CN"/>
        </w:rPr>
        <w:t xml:space="preserve">aybe we could discuss to add some clarification to reduce the impact of invalid subframes. For example, add clarification that it is up to UE implementation to suspend the timers in invalid DL subframes duration and resume when valid subframes occur. </w:t>
      </w:r>
    </w:p>
    <w:p w14:paraId="16B26260">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Compared to the new IoT-NTN TDD pattern, there might be much shorter/fewer invalid subframes for legacy NB-IoT.</w:t>
      </w:r>
    </w:p>
    <w:p w14:paraId="3456B20B">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 xml:space="preserve">Proposal 4: Kindly suggest RAN2 to add clarification that it is up to UE implementation to suspend the timers in invalid DL subframes duration and resume when valid subframes occur. </w:t>
      </w:r>
    </w:p>
    <w:p w14:paraId="54A7AF8D">
      <w:pPr>
        <w:pStyle w:val="3"/>
        <w:bidi w:val="0"/>
        <w:rPr>
          <w:rFonts w:hint="default"/>
          <w:b/>
          <w:bCs/>
          <w:sz w:val="24"/>
          <w:szCs w:val="24"/>
          <w:lang w:val="en-US" w:eastAsia="zh-CN"/>
        </w:rPr>
      </w:pPr>
      <w:r>
        <w:rPr>
          <w:rFonts w:hint="eastAsia"/>
          <w:b/>
          <w:bCs/>
          <w:sz w:val="24"/>
          <w:szCs w:val="24"/>
          <w:lang w:val="en-US" w:eastAsia="zh-CN"/>
        </w:rPr>
        <w:t xml:space="preserve"> DL bitmap (downlinkBitmap / downlinkBitmapNonAnchor)</w:t>
      </w:r>
    </w:p>
    <w:p w14:paraId="16851780">
      <w:pPr>
        <w:pStyle w:val="60"/>
        <w:spacing w:after="0"/>
        <w:ind w:left="0" w:firstLine="0"/>
        <w:rPr>
          <w:rFonts w:hint="default" w:eastAsia="宋体"/>
          <w:b w:val="0"/>
          <w:bCs w:val="0"/>
          <w:lang w:val="en-US" w:eastAsia="zh-CN"/>
        </w:rPr>
      </w:pPr>
      <w:r>
        <w:rPr>
          <w:rFonts w:hint="eastAsia" w:eastAsia="宋体"/>
          <w:b w:val="0"/>
          <w:bCs w:val="0"/>
          <w:lang w:val="en-US" w:eastAsia="zh-CN"/>
        </w:rPr>
        <w:t xml:space="preserve">RAN1 has agreed that DL bitmap (downlinkBitmap / downlinkBitmapNonAnchor) does not apply to a NB-IoT NTN TDD cell. And up to RAN2 to decide whether DL bitmap (downlinkBitmap / downlinkBitmapNonAnchor) is constrained to not being present in a NB-IoT NTN TDD cell, or it can be configured with values all set to </w:t>
      </w:r>
      <w:r>
        <w:rPr>
          <w:rFonts w:hint="default" w:eastAsia="宋体"/>
          <w:b w:val="0"/>
          <w:bCs w:val="0"/>
          <w:lang w:val="en-US" w:eastAsia="zh-CN"/>
        </w:rPr>
        <w:t>‘</w:t>
      </w:r>
      <w:r>
        <w:rPr>
          <w:rFonts w:hint="eastAsia" w:eastAsia="宋体"/>
          <w:b w:val="0"/>
          <w:bCs w:val="0"/>
          <w:lang w:val="en-US" w:eastAsia="zh-CN"/>
        </w:rPr>
        <w:t>1</w:t>
      </w:r>
      <w:r>
        <w:rPr>
          <w:rFonts w:hint="default" w:eastAsia="宋体"/>
          <w:b w:val="0"/>
          <w:bCs w:val="0"/>
          <w:lang w:val="en-US" w:eastAsia="zh-CN"/>
        </w:rPr>
        <w:t>’</w:t>
      </w:r>
      <w:r>
        <w:rPr>
          <w:rFonts w:hint="eastAsia" w:eastAsia="宋体"/>
          <w:b w:val="0"/>
          <w:bCs w:val="0"/>
          <w:lang w:val="en-US" w:eastAsia="zh-CN"/>
        </w:rPr>
        <w:t xml:space="preserve">. Some description for IoT-NTN TDD under the </w:t>
      </w:r>
      <w:r>
        <w:rPr>
          <w:rFonts w:hint="eastAsia" w:eastAsia="宋体"/>
          <w:b w:val="0"/>
          <w:bCs w:val="0"/>
          <w:i/>
          <w:iCs/>
          <w:lang w:val="en-US" w:eastAsia="zh-CN"/>
        </w:rPr>
        <w:t xml:space="preserve">downlinkBitmapNonAnchor </w:t>
      </w:r>
      <w:r>
        <w:rPr>
          <w:rFonts w:hint="eastAsia" w:eastAsia="宋体"/>
          <w:b w:val="0"/>
          <w:bCs w:val="0"/>
          <w:lang w:val="en-US" w:eastAsia="zh-CN"/>
        </w:rPr>
        <w:t>field has been added in the latest running CR [4], it seems acceptable and we could just do for this.</w:t>
      </w:r>
    </w:p>
    <w:p w14:paraId="78D5C31A">
      <w:pPr>
        <w:pStyle w:val="60"/>
        <w:spacing w:after="0"/>
        <w:ind w:left="0" w:firstLine="0"/>
        <w:rPr>
          <w:rFonts w:hint="default" w:eastAsiaTheme="minorEastAsia"/>
          <w:b/>
          <w:bCs/>
          <w:sz w:val="20"/>
          <w:szCs w:val="20"/>
          <w:lang w:val="en-US" w:eastAsia="zh-CN"/>
        </w:rPr>
      </w:pPr>
      <w:r>
        <w:rPr>
          <w:rFonts w:hint="eastAsia" w:eastAsia="宋体"/>
          <w:b/>
          <w:bCs/>
          <w:lang w:val="en-US" w:eastAsia="zh-CN"/>
        </w:rPr>
        <w:t>Proposal 5: Regarding the DL bitmap (downlinkBitmap / downlinkBitmapNonAnchor), the related modification in the latest running CR [4] could be supported.</w:t>
      </w:r>
    </w:p>
    <w:p w14:paraId="2F2893E7">
      <w:pPr>
        <w:pStyle w:val="3"/>
        <w:bidi w:val="0"/>
        <w:rPr>
          <w:rFonts w:hint="default"/>
          <w:b/>
          <w:bCs/>
          <w:sz w:val="24"/>
          <w:szCs w:val="24"/>
          <w:lang w:val="en-US" w:eastAsia="zh-CN"/>
        </w:rPr>
      </w:pPr>
      <w:r>
        <w:rPr>
          <w:rFonts w:hint="eastAsia"/>
          <w:b/>
          <w:bCs/>
          <w:sz w:val="24"/>
          <w:szCs w:val="24"/>
          <w:lang w:val="en-US" w:eastAsia="zh-CN"/>
        </w:rPr>
        <w:t xml:space="preserve"> HARQ</w:t>
      </w:r>
    </w:p>
    <w:p w14:paraId="27C8A9D7">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For HARQ of NB-IoT NTN FDD, in R18, we supported DL HARQ feedback disabled to support long propagation delay based on network configuration. For NB-IoT NTN TDD, considering the characteristic of the new TDD structure, for one HARQ process, the interval between a new transmission and a retransmission or two retransmission would be too long. That is a feedback used to determine whether a retransmission is needed may be not important. And we could consider an solution (e.g. add related description in TS 36.300) that if the NB-IoT NTN system operates in TDD mode, the HARQ feedback is disabled as default.</w:t>
      </w:r>
    </w:p>
    <w:p w14:paraId="656B93A9">
      <w:pPr>
        <w:pStyle w:val="60"/>
        <w:spacing w:after="0"/>
        <w:ind w:left="0" w:firstLine="0"/>
        <w:rPr>
          <w:rFonts w:hint="default" w:eastAsia="宋体"/>
          <w:b/>
          <w:bCs/>
          <w:lang w:val="en-US" w:eastAsia="zh-CN"/>
        </w:rPr>
      </w:pPr>
      <w:r>
        <w:rPr>
          <w:rFonts w:hint="eastAsia" w:eastAsia="宋体"/>
          <w:b/>
          <w:bCs/>
          <w:lang w:val="en-US" w:eastAsia="zh-CN"/>
        </w:rPr>
        <w:t>Proposal 6: It is proposed that if the NB-IoT NTN system operates in TDD mode, the HARQ feedback is disabled by default, and to be simple, we could just add related description in TS 36.300.</w:t>
      </w:r>
    </w:p>
    <w:p w14:paraId="0BF5AC01">
      <w:pPr>
        <w:pStyle w:val="3"/>
        <w:bidi w:val="0"/>
        <w:rPr>
          <w:rFonts w:hint="default"/>
          <w:b/>
          <w:bCs/>
          <w:sz w:val="24"/>
          <w:szCs w:val="24"/>
          <w:lang w:val="en-US" w:eastAsia="zh-CN"/>
        </w:rPr>
      </w:pPr>
      <w:r>
        <w:rPr>
          <w:rFonts w:hint="eastAsia"/>
          <w:b/>
          <w:bCs/>
          <w:sz w:val="24"/>
          <w:szCs w:val="24"/>
          <w:lang w:val="en-US" w:eastAsia="zh-CN"/>
        </w:rPr>
        <w:t xml:space="preserve"> Measurement Gap</w:t>
      </w:r>
    </w:p>
    <w:p w14:paraId="4F874892">
      <w:r>
        <w:rPr>
          <w:rFonts w:hint="eastAsia" w:eastAsia="宋体"/>
          <w:b w:val="0"/>
          <w:bCs w:val="0"/>
          <w:lang w:val="en-US" w:eastAsia="zh-CN"/>
        </w:rPr>
        <w:t>Based on the current TS 36.133, i</w:t>
      </w:r>
      <w:r>
        <w:t>n E-UTRA-NR dual connectivity mode, NR - E-UTRA</w:t>
      </w:r>
      <w:r>
        <w:rPr>
          <w:rFonts w:hint="eastAsia" w:eastAsia="宋体"/>
          <w:lang w:val="en-US" w:eastAsia="zh-CN"/>
        </w:rPr>
        <w:t xml:space="preserve"> </w:t>
      </w:r>
      <w:r>
        <w:t>dual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08198664">
      <w:pPr>
        <w:pStyle w:val="73"/>
      </w:pPr>
      <w:r>
        <w:rPr>
          <w:snapToGrid w:val="0"/>
        </w:rPr>
        <w:t xml:space="preserve">Table 8.1.2.1-1: </w:t>
      </w:r>
      <w:r>
        <w:t>Gap Pattern Configurations supported by the UE</w:t>
      </w:r>
    </w:p>
    <w:tbl>
      <w:tblPr>
        <w:tblStyle w:val="45"/>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1820"/>
        <w:gridCol w:w="1777"/>
        <w:gridCol w:w="2438"/>
        <w:gridCol w:w="2440"/>
      </w:tblGrid>
      <w:tr w14:paraId="7B63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768E39E3">
            <w:pPr>
              <w:pStyle w:val="70"/>
            </w:pPr>
            <w:r>
              <w:t>Gap Pattern Id</w:t>
            </w:r>
          </w:p>
        </w:tc>
        <w:tc>
          <w:tcPr>
            <w:tcW w:w="927" w:type="pct"/>
          </w:tcPr>
          <w:p w14:paraId="38209CC1">
            <w:pPr>
              <w:pStyle w:val="70"/>
            </w:pPr>
            <w:r>
              <w:t>MeasurementGap Length (MGL, ms)</w:t>
            </w:r>
          </w:p>
        </w:tc>
        <w:tc>
          <w:tcPr>
            <w:tcW w:w="905" w:type="pct"/>
          </w:tcPr>
          <w:p w14:paraId="4C9828C0">
            <w:pPr>
              <w:pStyle w:val="70"/>
            </w:pPr>
            <w:r>
              <w:t>Measurement Gap Repetition Period</w:t>
            </w:r>
          </w:p>
          <w:p w14:paraId="75EB7875">
            <w:pPr>
              <w:pStyle w:val="70"/>
            </w:pPr>
            <w:r>
              <w:t>(MGRP, ms)</w:t>
            </w:r>
          </w:p>
        </w:tc>
        <w:tc>
          <w:tcPr>
            <w:tcW w:w="1242" w:type="pct"/>
          </w:tcPr>
          <w:p w14:paraId="0F51EB17">
            <w:pPr>
              <w:pStyle w:val="70"/>
            </w:pPr>
            <w:r>
              <w:t>Minimum available time for inter-frequency and inter-RAT measurements during 480ms period</w:t>
            </w:r>
          </w:p>
          <w:p w14:paraId="2F43D6EA">
            <w:pPr>
              <w:pStyle w:val="70"/>
            </w:pPr>
            <w:r>
              <w:t>(Tinter1, ms)</w:t>
            </w:r>
          </w:p>
        </w:tc>
        <w:tc>
          <w:tcPr>
            <w:tcW w:w="1243" w:type="pct"/>
          </w:tcPr>
          <w:p w14:paraId="56E2421A">
            <w:pPr>
              <w:pStyle w:val="70"/>
            </w:pPr>
            <w:r>
              <w:t>Measurement Purpose</w:t>
            </w:r>
          </w:p>
        </w:tc>
      </w:tr>
      <w:tr w14:paraId="52E5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33DA6BE4">
            <w:pPr>
              <w:pStyle w:val="69"/>
              <w:rPr>
                <w:snapToGrid w:val="0"/>
              </w:rPr>
            </w:pPr>
            <w:r>
              <w:rPr>
                <w:snapToGrid w:val="0"/>
              </w:rPr>
              <w:t>0</w:t>
            </w:r>
          </w:p>
        </w:tc>
        <w:tc>
          <w:tcPr>
            <w:tcW w:w="927" w:type="pct"/>
          </w:tcPr>
          <w:p w14:paraId="1845A9CD">
            <w:pPr>
              <w:pStyle w:val="69"/>
              <w:rPr>
                <w:snapToGrid w:val="0"/>
              </w:rPr>
            </w:pPr>
            <w:r>
              <w:rPr>
                <w:snapToGrid w:val="0"/>
              </w:rPr>
              <w:t>6</w:t>
            </w:r>
          </w:p>
        </w:tc>
        <w:tc>
          <w:tcPr>
            <w:tcW w:w="905" w:type="pct"/>
          </w:tcPr>
          <w:p w14:paraId="4B9AD2A6">
            <w:pPr>
              <w:pStyle w:val="69"/>
              <w:rPr>
                <w:snapToGrid w:val="0"/>
              </w:rPr>
            </w:pPr>
            <w:r>
              <w:rPr>
                <w:snapToGrid w:val="0"/>
              </w:rPr>
              <w:t>40</w:t>
            </w:r>
          </w:p>
        </w:tc>
        <w:tc>
          <w:tcPr>
            <w:tcW w:w="1242" w:type="pct"/>
          </w:tcPr>
          <w:p w14:paraId="6685F0A5">
            <w:pPr>
              <w:pStyle w:val="69"/>
            </w:pPr>
            <w:r>
              <w:t>60</w:t>
            </w:r>
          </w:p>
        </w:tc>
        <w:tc>
          <w:tcPr>
            <w:tcW w:w="1243" w:type="pct"/>
          </w:tcPr>
          <w:p w14:paraId="57E38B89">
            <w:pPr>
              <w:pStyle w:val="69"/>
              <w:rPr>
                <w:snapToGrid w:val="0"/>
              </w:rPr>
            </w:pPr>
            <w:r>
              <w:t>Inter-Frequency E-UTRAN FDD and TDD, UTRAN FDD, GERAN, LCR TDD, HRPD, CDMA2000 1x, inter-RAT NR</w:t>
            </w:r>
          </w:p>
        </w:tc>
      </w:tr>
      <w:tr w14:paraId="6C92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413E1AC3">
            <w:pPr>
              <w:pStyle w:val="69"/>
              <w:rPr>
                <w:snapToGrid w:val="0"/>
              </w:rPr>
            </w:pPr>
            <w:r>
              <w:rPr>
                <w:snapToGrid w:val="0"/>
              </w:rPr>
              <w:t>1</w:t>
            </w:r>
          </w:p>
        </w:tc>
        <w:tc>
          <w:tcPr>
            <w:tcW w:w="927" w:type="pct"/>
          </w:tcPr>
          <w:p w14:paraId="1088CBF7">
            <w:pPr>
              <w:pStyle w:val="69"/>
              <w:rPr>
                <w:snapToGrid w:val="0"/>
              </w:rPr>
            </w:pPr>
            <w:r>
              <w:rPr>
                <w:snapToGrid w:val="0"/>
              </w:rPr>
              <w:t>6</w:t>
            </w:r>
          </w:p>
        </w:tc>
        <w:tc>
          <w:tcPr>
            <w:tcW w:w="905" w:type="pct"/>
          </w:tcPr>
          <w:p w14:paraId="4CD90E90">
            <w:pPr>
              <w:pStyle w:val="69"/>
              <w:rPr>
                <w:snapToGrid w:val="0"/>
              </w:rPr>
            </w:pPr>
            <w:r>
              <w:rPr>
                <w:snapToGrid w:val="0"/>
              </w:rPr>
              <w:t>80</w:t>
            </w:r>
          </w:p>
        </w:tc>
        <w:tc>
          <w:tcPr>
            <w:tcW w:w="1242" w:type="pct"/>
          </w:tcPr>
          <w:p w14:paraId="1CD83234">
            <w:pPr>
              <w:pStyle w:val="69"/>
            </w:pPr>
            <w:r>
              <w:t>30</w:t>
            </w:r>
          </w:p>
        </w:tc>
        <w:tc>
          <w:tcPr>
            <w:tcW w:w="1243" w:type="pct"/>
          </w:tcPr>
          <w:p w14:paraId="6F7AB763">
            <w:pPr>
              <w:pStyle w:val="69"/>
              <w:rPr>
                <w:snapToGrid w:val="0"/>
              </w:rPr>
            </w:pPr>
            <w:r>
              <w:t>Inter-Frequency E-UTRAN FDD and TDD, UTRAN FDD, GERAN, LCR TDD, HRPD, CDMA2000 1x</w:t>
            </w:r>
            <w:r>
              <w:rPr>
                <w:rFonts w:hint="eastAsia"/>
              </w:rPr>
              <w:t>,</w:t>
            </w:r>
            <w:r>
              <w:t xml:space="preserve"> inter-RAT NR</w:t>
            </w:r>
          </w:p>
        </w:tc>
      </w:tr>
      <w:tr w14:paraId="1B51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1BB6E68F">
            <w:pPr>
              <w:pStyle w:val="69"/>
              <w:rPr>
                <w:snapToGrid w:val="0"/>
              </w:rPr>
            </w:pPr>
            <w:r>
              <w:rPr>
                <w:snapToGrid w:val="0"/>
              </w:rPr>
              <w:t>2</w:t>
            </w:r>
          </w:p>
        </w:tc>
        <w:tc>
          <w:tcPr>
            <w:tcW w:w="927" w:type="pct"/>
          </w:tcPr>
          <w:p w14:paraId="37F8362E">
            <w:pPr>
              <w:pStyle w:val="69"/>
              <w:rPr>
                <w:snapToGrid w:val="0"/>
              </w:rPr>
            </w:pPr>
            <w:r>
              <w:rPr>
                <w:snapToGrid w:val="0"/>
              </w:rPr>
              <w:t>3</w:t>
            </w:r>
          </w:p>
        </w:tc>
        <w:tc>
          <w:tcPr>
            <w:tcW w:w="905" w:type="pct"/>
          </w:tcPr>
          <w:p w14:paraId="71B5EEAF">
            <w:pPr>
              <w:pStyle w:val="69"/>
              <w:rPr>
                <w:snapToGrid w:val="0"/>
              </w:rPr>
            </w:pPr>
            <w:r>
              <w:rPr>
                <w:snapToGrid w:val="0"/>
              </w:rPr>
              <w:t>40</w:t>
            </w:r>
          </w:p>
        </w:tc>
        <w:tc>
          <w:tcPr>
            <w:tcW w:w="1242" w:type="pct"/>
          </w:tcPr>
          <w:p w14:paraId="2B70C271">
            <w:pPr>
              <w:pStyle w:val="69"/>
            </w:pPr>
            <w:r>
              <w:t>24</w:t>
            </w:r>
            <w:r>
              <w:rPr>
                <w:vertAlign w:val="superscript"/>
              </w:rPr>
              <w:t>NOTE 1,2</w:t>
            </w:r>
          </w:p>
        </w:tc>
        <w:tc>
          <w:tcPr>
            <w:tcW w:w="1243" w:type="pct"/>
          </w:tcPr>
          <w:p w14:paraId="40964500">
            <w:pPr>
              <w:pStyle w:val="69"/>
            </w:pPr>
            <w:r>
              <w:t>Inter-Frequency E-UTRAN FDD and TDD for cells with time difference as specified below.</w:t>
            </w:r>
          </w:p>
          <w:p w14:paraId="0A29CBFC">
            <w:pPr>
              <w:pStyle w:val="69"/>
            </w:pPr>
            <w:r>
              <w:t>inter-RAT NR</w:t>
            </w:r>
          </w:p>
        </w:tc>
      </w:tr>
      <w:tr w14:paraId="084A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2CBC561F">
            <w:pPr>
              <w:pStyle w:val="69"/>
              <w:rPr>
                <w:snapToGrid w:val="0"/>
              </w:rPr>
            </w:pPr>
            <w:r>
              <w:rPr>
                <w:snapToGrid w:val="0"/>
              </w:rPr>
              <w:t>3</w:t>
            </w:r>
          </w:p>
        </w:tc>
        <w:tc>
          <w:tcPr>
            <w:tcW w:w="927" w:type="pct"/>
          </w:tcPr>
          <w:p w14:paraId="6C8972F7">
            <w:pPr>
              <w:pStyle w:val="69"/>
              <w:rPr>
                <w:snapToGrid w:val="0"/>
              </w:rPr>
            </w:pPr>
            <w:r>
              <w:rPr>
                <w:snapToGrid w:val="0"/>
              </w:rPr>
              <w:t>3</w:t>
            </w:r>
          </w:p>
        </w:tc>
        <w:tc>
          <w:tcPr>
            <w:tcW w:w="905" w:type="pct"/>
          </w:tcPr>
          <w:p w14:paraId="2EDF76D9">
            <w:pPr>
              <w:pStyle w:val="69"/>
              <w:rPr>
                <w:snapToGrid w:val="0"/>
              </w:rPr>
            </w:pPr>
            <w:r>
              <w:rPr>
                <w:snapToGrid w:val="0"/>
              </w:rPr>
              <w:t>80</w:t>
            </w:r>
          </w:p>
        </w:tc>
        <w:tc>
          <w:tcPr>
            <w:tcW w:w="1242" w:type="pct"/>
          </w:tcPr>
          <w:p w14:paraId="383A05A2">
            <w:pPr>
              <w:pStyle w:val="69"/>
            </w:pPr>
            <w:r>
              <w:t>12</w:t>
            </w:r>
            <w:r>
              <w:rPr>
                <w:vertAlign w:val="superscript"/>
              </w:rPr>
              <w:t>NOTE 1,2</w:t>
            </w:r>
          </w:p>
        </w:tc>
        <w:tc>
          <w:tcPr>
            <w:tcW w:w="1243" w:type="pct"/>
          </w:tcPr>
          <w:p w14:paraId="607E8C17">
            <w:pPr>
              <w:pStyle w:val="69"/>
            </w:pPr>
            <w:r>
              <w:t>Inter-Frequency E-UTRAN FDD and TDD for cells with time difference according as specified below.</w:t>
            </w:r>
          </w:p>
          <w:p w14:paraId="2DCEF6EF">
            <w:pPr>
              <w:pStyle w:val="69"/>
            </w:pPr>
            <w:r>
              <w:t>inter-RAT NR</w:t>
            </w:r>
          </w:p>
        </w:tc>
      </w:tr>
      <w:tr w14:paraId="4CBB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3BF5BA72">
            <w:pPr>
              <w:pStyle w:val="69"/>
              <w:rPr>
                <w:snapToGrid w:val="0"/>
              </w:rPr>
            </w:pPr>
            <w:r>
              <w:rPr>
                <w:rFonts w:cs="Arial"/>
                <w:snapToGrid w:val="0"/>
                <w:lang w:eastAsia="ko-KR"/>
              </w:rPr>
              <w:t>4</w:t>
            </w:r>
          </w:p>
        </w:tc>
        <w:tc>
          <w:tcPr>
            <w:tcW w:w="927" w:type="pct"/>
          </w:tcPr>
          <w:p w14:paraId="58F19B75">
            <w:pPr>
              <w:pStyle w:val="69"/>
              <w:rPr>
                <w:snapToGrid w:val="0"/>
              </w:rPr>
            </w:pPr>
            <w:r>
              <w:rPr>
                <w:rFonts w:cs="Arial"/>
                <w:snapToGrid w:val="0"/>
                <w:lang w:eastAsia="ko-KR"/>
              </w:rPr>
              <w:t>6</w:t>
            </w:r>
          </w:p>
        </w:tc>
        <w:tc>
          <w:tcPr>
            <w:tcW w:w="905" w:type="pct"/>
          </w:tcPr>
          <w:p w14:paraId="446D5858">
            <w:pPr>
              <w:pStyle w:val="69"/>
              <w:rPr>
                <w:snapToGrid w:val="0"/>
              </w:rPr>
            </w:pPr>
            <w:r>
              <w:rPr>
                <w:rFonts w:cs="Arial"/>
                <w:snapToGrid w:val="0"/>
                <w:lang w:eastAsia="ko-KR"/>
              </w:rPr>
              <w:t>20</w:t>
            </w:r>
          </w:p>
        </w:tc>
        <w:tc>
          <w:tcPr>
            <w:tcW w:w="1242" w:type="pct"/>
          </w:tcPr>
          <w:p w14:paraId="7195CEBA">
            <w:pPr>
              <w:pStyle w:val="69"/>
              <w:rPr>
                <w:rFonts w:eastAsia="Malgun Gothic"/>
              </w:rPr>
            </w:pPr>
            <w:r>
              <w:rPr>
                <w:rFonts w:cs="Arial"/>
                <w:lang w:eastAsia="ko-KR"/>
              </w:rPr>
              <w:t>120</w:t>
            </w:r>
            <w:r>
              <w:rPr>
                <w:rFonts w:cs="Arial"/>
                <w:vertAlign w:val="superscript"/>
                <w:lang w:eastAsia="ko-KR"/>
              </w:rPr>
              <w:t xml:space="preserve"> Note </w:t>
            </w:r>
            <w:r>
              <w:rPr>
                <w:rFonts w:eastAsia="宋体" w:cs="Arial"/>
                <w:vertAlign w:val="superscript"/>
              </w:rPr>
              <w:t>1</w:t>
            </w:r>
          </w:p>
        </w:tc>
        <w:tc>
          <w:tcPr>
            <w:tcW w:w="1243" w:type="pct"/>
          </w:tcPr>
          <w:p w14:paraId="33B97C96">
            <w:pPr>
              <w:pStyle w:val="69"/>
            </w:pPr>
            <w:r>
              <w:rPr>
                <w:rFonts w:cs="Arial"/>
              </w:rPr>
              <w:t>inter-RAT NR</w:t>
            </w:r>
            <w:bookmarkStart w:id="15" w:name="OLE_LINK22"/>
            <w:r>
              <w:rPr>
                <w:rFonts w:cs="Arial"/>
                <w:sz w:val="20"/>
                <w:lang w:eastAsia="ko-KR"/>
              </w:rPr>
              <w:t xml:space="preserve">, </w:t>
            </w:r>
            <w:bookmarkEnd w:id="15"/>
            <w:r>
              <w:rPr>
                <w:rFonts w:cs="Arial"/>
                <w:lang w:eastAsia="ko-KR"/>
              </w:rPr>
              <w:t>Inter-Frequency E-UTRAN FDD and TDD</w:t>
            </w:r>
            <w:r>
              <w:rPr>
                <w:rFonts w:cs="Arial"/>
                <w:vertAlign w:val="superscript"/>
                <w:lang w:eastAsia="ko-KR"/>
              </w:rPr>
              <w:t xml:space="preserve"> Note</w:t>
            </w:r>
            <w:r>
              <w:rPr>
                <w:rFonts w:eastAsia="宋体" w:cs="Arial"/>
                <w:vertAlign w:val="superscript"/>
              </w:rPr>
              <w:t xml:space="preserve"> 6</w:t>
            </w:r>
          </w:p>
        </w:tc>
      </w:tr>
      <w:tr w14:paraId="09908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4F3EE0EB">
            <w:pPr>
              <w:pStyle w:val="69"/>
              <w:rPr>
                <w:snapToGrid w:val="0"/>
              </w:rPr>
            </w:pPr>
            <w:r>
              <w:rPr>
                <w:rFonts w:cs="Arial"/>
                <w:snapToGrid w:val="0"/>
                <w:lang w:eastAsia="ko-KR"/>
              </w:rPr>
              <w:t>5</w:t>
            </w:r>
          </w:p>
        </w:tc>
        <w:tc>
          <w:tcPr>
            <w:tcW w:w="927" w:type="pct"/>
          </w:tcPr>
          <w:p w14:paraId="2121B952">
            <w:pPr>
              <w:pStyle w:val="69"/>
              <w:rPr>
                <w:snapToGrid w:val="0"/>
              </w:rPr>
            </w:pPr>
            <w:r>
              <w:rPr>
                <w:snapToGrid w:val="0"/>
              </w:rPr>
              <w:t>6</w:t>
            </w:r>
          </w:p>
        </w:tc>
        <w:tc>
          <w:tcPr>
            <w:tcW w:w="905" w:type="pct"/>
          </w:tcPr>
          <w:p w14:paraId="505A0DA9">
            <w:pPr>
              <w:pStyle w:val="69"/>
              <w:rPr>
                <w:snapToGrid w:val="0"/>
              </w:rPr>
            </w:pPr>
            <w:r>
              <w:rPr>
                <w:snapToGrid w:val="0"/>
              </w:rPr>
              <w:t>160</w:t>
            </w:r>
          </w:p>
        </w:tc>
        <w:tc>
          <w:tcPr>
            <w:tcW w:w="1242" w:type="pct"/>
          </w:tcPr>
          <w:p w14:paraId="611D8531">
            <w:pPr>
              <w:pStyle w:val="69"/>
            </w:pPr>
            <w:r>
              <w:rPr>
                <w:rFonts w:hint="eastAsia"/>
              </w:rPr>
              <w:t>Note 3</w:t>
            </w:r>
          </w:p>
        </w:tc>
        <w:tc>
          <w:tcPr>
            <w:tcW w:w="1243" w:type="pct"/>
          </w:tcPr>
          <w:p w14:paraId="6DF4764F">
            <w:pPr>
              <w:pStyle w:val="69"/>
            </w:pPr>
            <w:r>
              <w:t>inter-RAT NR</w:t>
            </w:r>
          </w:p>
        </w:tc>
      </w:tr>
      <w:tr w14:paraId="6B2C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0F792FDC">
            <w:pPr>
              <w:pStyle w:val="69"/>
              <w:rPr>
                <w:snapToGrid w:val="0"/>
              </w:rPr>
            </w:pPr>
            <w:r>
              <w:rPr>
                <w:rFonts w:cs="Arial"/>
                <w:snapToGrid w:val="0"/>
                <w:lang w:eastAsia="ko-KR"/>
              </w:rPr>
              <w:t>6</w:t>
            </w:r>
          </w:p>
        </w:tc>
        <w:tc>
          <w:tcPr>
            <w:tcW w:w="927" w:type="pct"/>
          </w:tcPr>
          <w:p w14:paraId="152DE6FB">
            <w:pPr>
              <w:pStyle w:val="69"/>
              <w:rPr>
                <w:snapToGrid w:val="0"/>
              </w:rPr>
            </w:pPr>
            <w:r>
              <w:rPr>
                <w:rFonts w:cs="Arial"/>
                <w:snapToGrid w:val="0"/>
                <w:lang w:eastAsia="ko-KR"/>
              </w:rPr>
              <w:t>4</w:t>
            </w:r>
          </w:p>
        </w:tc>
        <w:tc>
          <w:tcPr>
            <w:tcW w:w="905" w:type="pct"/>
          </w:tcPr>
          <w:p w14:paraId="15C16E3D">
            <w:pPr>
              <w:pStyle w:val="69"/>
              <w:rPr>
                <w:snapToGrid w:val="0"/>
              </w:rPr>
            </w:pPr>
            <w:r>
              <w:rPr>
                <w:rFonts w:cs="Arial"/>
                <w:snapToGrid w:val="0"/>
                <w:lang w:eastAsia="ko-KR"/>
              </w:rPr>
              <w:t>20</w:t>
            </w:r>
          </w:p>
        </w:tc>
        <w:tc>
          <w:tcPr>
            <w:tcW w:w="1242" w:type="pct"/>
          </w:tcPr>
          <w:p w14:paraId="5ADD948A">
            <w:pPr>
              <w:pStyle w:val="69"/>
              <w:rPr>
                <w:rFonts w:eastAsia="Malgun Gothic"/>
              </w:rPr>
            </w:pPr>
            <w:r>
              <w:rPr>
                <w:rFonts w:hint="eastAsia"/>
              </w:rPr>
              <w:t>72</w:t>
            </w:r>
            <w:r>
              <w:rPr>
                <w:vertAlign w:val="superscript"/>
              </w:rPr>
              <w:t xml:space="preserve"> Note</w:t>
            </w:r>
            <w:r>
              <w:rPr>
                <w:rFonts w:hint="eastAsia" w:eastAsia="宋体"/>
                <w:vertAlign w:val="superscript"/>
              </w:rPr>
              <w:t xml:space="preserve"> 1, 5</w:t>
            </w:r>
            <w:r>
              <w:rPr>
                <w:rFonts w:eastAsia="宋体"/>
                <w:vertAlign w:val="superscript"/>
              </w:rPr>
              <w:t>, 7</w:t>
            </w:r>
          </w:p>
        </w:tc>
        <w:tc>
          <w:tcPr>
            <w:tcW w:w="1243" w:type="pct"/>
          </w:tcPr>
          <w:p w14:paraId="39F1B752">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14:paraId="1968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37FCF4FB">
            <w:pPr>
              <w:pStyle w:val="69"/>
              <w:rPr>
                <w:snapToGrid w:val="0"/>
              </w:rPr>
            </w:pPr>
            <w:r>
              <w:rPr>
                <w:rFonts w:cs="Arial"/>
                <w:snapToGrid w:val="0"/>
                <w:lang w:eastAsia="ko-KR"/>
              </w:rPr>
              <w:t>7</w:t>
            </w:r>
          </w:p>
        </w:tc>
        <w:tc>
          <w:tcPr>
            <w:tcW w:w="927" w:type="pct"/>
          </w:tcPr>
          <w:p w14:paraId="3663B600">
            <w:pPr>
              <w:pStyle w:val="69"/>
              <w:rPr>
                <w:snapToGrid w:val="0"/>
              </w:rPr>
            </w:pPr>
            <w:r>
              <w:rPr>
                <w:snapToGrid w:val="0"/>
              </w:rPr>
              <w:t>4</w:t>
            </w:r>
          </w:p>
        </w:tc>
        <w:tc>
          <w:tcPr>
            <w:tcW w:w="905" w:type="pct"/>
          </w:tcPr>
          <w:p w14:paraId="47E1505E">
            <w:pPr>
              <w:pStyle w:val="69"/>
              <w:rPr>
                <w:snapToGrid w:val="0"/>
              </w:rPr>
            </w:pPr>
            <w:r>
              <w:rPr>
                <w:snapToGrid w:val="0"/>
              </w:rPr>
              <w:t>40</w:t>
            </w:r>
          </w:p>
        </w:tc>
        <w:tc>
          <w:tcPr>
            <w:tcW w:w="1242" w:type="pct"/>
          </w:tcPr>
          <w:p w14:paraId="7C884608">
            <w:pPr>
              <w:pStyle w:val="69"/>
              <w:rPr>
                <w:rFonts w:eastAsia="Malgun Gothic"/>
              </w:rPr>
            </w:pPr>
            <w:r>
              <w:rPr>
                <w:rFonts w:hint="eastAsia"/>
              </w:rPr>
              <w:t>36</w:t>
            </w:r>
            <w:r>
              <w:rPr>
                <w:vertAlign w:val="superscript"/>
              </w:rPr>
              <w:t xml:space="preserve"> Note </w:t>
            </w:r>
            <w:r>
              <w:rPr>
                <w:rFonts w:hint="eastAsia" w:eastAsia="宋体"/>
                <w:vertAlign w:val="superscript"/>
              </w:rPr>
              <w:t>1, 5</w:t>
            </w:r>
            <w:r>
              <w:rPr>
                <w:rFonts w:eastAsia="宋体"/>
                <w:vertAlign w:val="superscript"/>
              </w:rPr>
              <w:t>, 8</w:t>
            </w:r>
          </w:p>
        </w:tc>
        <w:tc>
          <w:tcPr>
            <w:tcW w:w="1243" w:type="pct"/>
          </w:tcPr>
          <w:p w14:paraId="2FB58E08">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14:paraId="742E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25023C02">
            <w:pPr>
              <w:pStyle w:val="69"/>
              <w:rPr>
                <w:snapToGrid w:val="0"/>
              </w:rPr>
            </w:pPr>
            <w:r>
              <w:rPr>
                <w:rFonts w:cs="Arial"/>
                <w:snapToGrid w:val="0"/>
                <w:lang w:eastAsia="ko-KR"/>
              </w:rPr>
              <w:t>8</w:t>
            </w:r>
          </w:p>
        </w:tc>
        <w:tc>
          <w:tcPr>
            <w:tcW w:w="927" w:type="pct"/>
          </w:tcPr>
          <w:p w14:paraId="73B39F7C">
            <w:pPr>
              <w:pStyle w:val="69"/>
              <w:rPr>
                <w:snapToGrid w:val="0"/>
              </w:rPr>
            </w:pPr>
            <w:r>
              <w:rPr>
                <w:snapToGrid w:val="0"/>
              </w:rPr>
              <w:t>4</w:t>
            </w:r>
          </w:p>
        </w:tc>
        <w:tc>
          <w:tcPr>
            <w:tcW w:w="905" w:type="pct"/>
          </w:tcPr>
          <w:p w14:paraId="081212C3">
            <w:pPr>
              <w:pStyle w:val="69"/>
              <w:rPr>
                <w:snapToGrid w:val="0"/>
              </w:rPr>
            </w:pPr>
            <w:r>
              <w:rPr>
                <w:snapToGrid w:val="0"/>
              </w:rPr>
              <w:t>80</w:t>
            </w:r>
          </w:p>
        </w:tc>
        <w:tc>
          <w:tcPr>
            <w:tcW w:w="1242" w:type="pct"/>
          </w:tcPr>
          <w:p w14:paraId="02A8A64E">
            <w:pPr>
              <w:pStyle w:val="69"/>
              <w:rPr>
                <w:rFonts w:eastAsia="Malgun Gothic"/>
              </w:rPr>
            </w:pPr>
            <w:r>
              <w:rPr>
                <w:rFonts w:hint="eastAsia"/>
              </w:rPr>
              <w:t>18</w:t>
            </w:r>
            <w:r>
              <w:rPr>
                <w:vertAlign w:val="superscript"/>
              </w:rPr>
              <w:t xml:space="preserve">Note </w:t>
            </w:r>
            <w:r>
              <w:rPr>
                <w:rFonts w:hint="eastAsia" w:eastAsia="宋体"/>
                <w:vertAlign w:val="superscript"/>
              </w:rPr>
              <w:t>1, 5</w:t>
            </w:r>
            <w:r>
              <w:rPr>
                <w:rFonts w:eastAsia="宋体"/>
                <w:vertAlign w:val="superscript"/>
              </w:rPr>
              <w:t>, 9</w:t>
            </w:r>
          </w:p>
        </w:tc>
        <w:tc>
          <w:tcPr>
            <w:tcW w:w="1243" w:type="pct"/>
          </w:tcPr>
          <w:p w14:paraId="6238F622">
            <w:pPr>
              <w:pStyle w:val="69"/>
            </w:pPr>
            <w:r>
              <w:t>inter-RAT NR</w:t>
            </w:r>
            <w:r>
              <w:rPr>
                <w:rFonts w:hint="eastAsia" w:ascii="Times New Roman" w:hAnsi="Times New Roman"/>
                <w:sz w:val="20"/>
              </w:rPr>
              <w:t>,</w:t>
            </w:r>
            <w:r>
              <w:rPr>
                <w:rFonts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14:paraId="59ED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14D64D0B">
            <w:pPr>
              <w:pStyle w:val="69"/>
              <w:rPr>
                <w:snapToGrid w:val="0"/>
              </w:rPr>
            </w:pPr>
            <w:r>
              <w:rPr>
                <w:rFonts w:cs="Arial"/>
                <w:snapToGrid w:val="0"/>
                <w:lang w:eastAsia="ko-KR"/>
              </w:rPr>
              <w:t>9</w:t>
            </w:r>
          </w:p>
        </w:tc>
        <w:tc>
          <w:tcPr>
            <w:tcW w:w="927" w:type="pct"/>
          </w:tcPr>
          <w:p w14:paraId="22D7E757">
            <w:pPr>
              <w:pStyle w:val="69"/>
              <w:rPr>
                <w:snapToGrid w:val="0"/>
              </w:rPr>
            </w:pPr>
            <w:r>
              <w:rPr>
                <w:rFonts w:cs="Arial"/>
                <w:snapToGrid w:val="0"/>
                <w:lang w:eastAsia="ko-KR"/>
              </w:rPr>
              <w:t>4</w:t>
            </w:r>
          </w:p>
        </w:tc>
        <w:tc>
          <w:tcPr>
            <w:tcW w:w="905" w:type="pct"/>
          </w:tcPr>
          <w:p w14:paraId="27C43F33">
            <w:pPr>
              <w:pStyle w:val="69"/>
              <w:rPr>
                <w:snapToGrid w:val="0"/>
              </w:rPr>
            </w:pPr>
            <w:r>
              <w:rPr>
                <w:rFonts w:cs="Arial"/>
                <w:snapToGrid w:val="0"/>
                <w:lang w:eastAsia="ko-KR"/>
              </w:rPr>
              <w:t>160</w:t>
            </w:r>
          </w:p>
        </w:tc>
        <w:tc>
          <w:tcPr>
            <w:tcW w:w="1242" w:type="pct"/>
          </w:tcPr>
          <w:p w14:paraId="3530E790">
            <w:pPr>
              <w:pStyle w:val="69"/>
            </w:pPr>
            <w:r>
              <w:rPr>
                <w:rFonts w:hint="eastAsia"/>
              </w:rPr>
              <w:t>Note 3</w:t>
            </w:r>
          </w:p>
        </w:tc>
        <w:tc>
          <w:tcPr>
            <w:tcW w:w="1243" w:type="pct"/>
          </w:tcPr>
          <w:p w14:paraId="411B1FB8">
            <w:pPr>
              <w:pStyle w:val="69"/>
            </w:pPr>
            <w:r>
              <w:t>inter-RAT NR</w:t>
            </w:r>
          </w:p>
        </w:tc>
      </w:tr>
      <w:tr w14:paraId="7282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17EF07C0">
            <w:pPr>
              <w:pStyle w:val="69"/>
              <w:rPr>
                <w:snapToGrid w:val="0"/>
              </w:rPr>
            </w:pPr>
            <w:r>
              <w:rPr>
                <w:rFonts w:cs="Arial"/>
                <w:snapToGrid w:val="0"/>
                <w:lang w:eastAsia="ko-KR"/>
              </w:rPr>
              <w:t>10</w:t>
            </w:r>
          </w:p>
        </w:tc>
        <w:tc>
          <w:tcPr>
            <w:tcW w:w="927" w:type="pct"/>
          </w:tcPr>
          <w:p w14:paraId="20163981">
            <w:pPr>
              <w:pStyle w:val="69"/>
              <w:rPr>
                <w:snapToGrid w:val="0"/>
              </w:rPr>
            </w:pPr>
            <w:r>
              <w:rPr>
                <w:snapToGrid w:val="0"/>
              </w:rPr>
              <w:t>3</w:t>
            </w:r>
          </w:p>
        </w:tc>
        <w:tc>
          <w:tcPr>
            <w:tcW w:w="905" w:type="pct"/>
          </w:tcPr>
          <w:p w14:paraId="6BE7520E">
            <w:pPr>
              <w:pStyle w:val="69"/>
              <w:rPr>
                <w:snapToGrid w:val="0"/>
              </w:rPr>
            </w:pPr>
            <w:r>
              <w:rPr>
                <w:snapToGrid w:val="0"/>
              </w:rPr>
              <w:t>20</w:t>
            </w:r>
          </w:p>
        </w:tc>
        <w:tc>
          <w:tcPr>
            <w:tcW w:w="1242" w:type="pct"/>
          </w:tcPr>
          <w:p w14:paraId="2CFFFEE5">
            <w:pPr>
              <w:pStyle w:val="69"/>
              <w:rPr>
                <w:rFonts w:eastAsia="Malgun Gothic"/>
              </w:rPr>
            </w:pPr>
            <w:r>
              <w:rPr>
                <w:rFonts w:hint="eastAsia"/>
              </w:rPr>
              <w:t>48</w:t>
            </w:r>
            <w:r>
              <w:rPr>
                <w:vertAlign w:val="superscript"/>
              </w:rPr>
              <w:t xml:space="preserve"> Note </w:t>
            </w:r>
            <w:r>
              <w:rPr>
                <w:rFonts w:hint="eastAsia" w:eastAsia="宋体"/>
                <w:vertAlign w:val="superscript"/>
              </w:rPr>
              <w:t>1, 5</w:t>
            </w:r>
          </w:p>
        </w:tc>
        <w:tc>
          <w:tcPr>
            <w:tcW w:w="1243" w:type="pct"/>
          </w:tcPr>
          <w:p w14:paraId="4544F4FE">
            <w:pPr>
              <w:pStyle w:val="69"/>
            </w:pPr>
            <w:r>
              <w:t>inter-RAT NR</w:t>
            </w:r>
            <w:r>
              <w:rPr>
                <w:rFonts w:hint="eastAsia" w:ascii="Times New Roman" w:hAnsi="Times New Roman"/>
                <w:sz w:val="20"/>
              </w:rPr>
              <w:t xml:space="preserve">, </w:t>
            </w:r>
            <w:r>
              <w:t>Inter-Frequency E-UTRAN FDD and TDD</w:t>
            </w:r>
            <w:r>
              <w:rPr>
                <w:vertAlign w:val="superscript"/>
              </w:rPr>
              <w:t xml:space="preserve"> Note</w:t>
            </w:r>
            <w:r>
              <w:rPr>
                <w:rFonts w:eastAsia="宋体"/>
                <w:vertAlign w:val="superscript"/>
              </w:rPr>
              <w:t xml:space="preserve"> 6</w:t>
            </w:r>
          </w:p>
        </w:tc>
      </w:tr>
      <w:tr w14:paraId="2DD4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246E3A1B">
            <w:pPr>
              <w:pStyle w:val="69"/>
              <w:rPr>
                <w:snapToGrid w:val="0"/>
              </w:rPr>
            </w:pPr>
            <w:r>
              <w:rPr>
                <w:rFonts w:cs="Arial"/>
                <w:snapToGrid w:val="0"/>
                <w:lang w:eastAsia="ko-KR"/>
              </w:rPr>
              <w:t>11</w:t>
            </w:r>
          </w:p>
        </w:tc>
        <w:tc>
          <w:tcPr>
            <w:tcW w:w="927" w:type="pct"/>
          </w:tcPr>
          <w:p w14:paraId="28FEA28F">
            <w:pPr>
              <w:pStyle w:val="69"/>
              <w:rPr>
                <w:snapToGrid w:val="0"/>
              </w:rPr>
            </w:pPr>
            <w:r>
              <w:rPr>
                <w:snapToGrid w:val="0"/>
              </w:rPr>
              <w:t>3</w:t>
            </w:r>
          </w:p>
        </w:tc>
        <w:tc>
          <w:tcPr>
            <w:tcW w:w="905" w:type="pct"/>
          </w:tcPr>
          <w:p w14:paraId="58CDC221">
            <w:pPr>
              <w:pStyle w:val="69"/>
              <w:rPr>
                <w:snapToGrid w:val="0"/>
              </w:rPr>
            </w:pPr>
            <w:r>
              <w:rPr>
                <w:snapToGrid w:val="0"/>
              </w:rPr>
              <w:t>160</w:t>
            </w:r>
          </w:p>
        </w:tc>
        <w:tc>
          <w:tcPr>
            <w:tcW w:w="1242" w:type="pct"/>
          </w:tcPr>
          <w:p w14:paraId="0729BE82">
            <w:pPr>
              <w:pStyle w:val="69"/>
            </w:pPr>
            <w:r>
              <w:rPr>
                <w:rFonts w:hint="eastAsia"/>
              </w:rPr>
              <w:t>Note 3</w:t>
            </w:r>
          </w:p>
        </w:tc>
        <w:tc>
          <w:tcPr>
            <w:tcW w:w="1243" w:type="pct"/>
          </w:tcPr>
          <w:p w14:paraId="1A2D4B1F">
            <w:pPr>
              <w:pStyle w:val="69"/>
            </w:pPr>
            <w:r>
              <w:t>inter-RAT NR</w:t>
            </w:r>
          </w:p>
        </w:tc>
      </w:tr>
      <w:tr w14:paraId="3D11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4D5D925E">
            <w:pPr>
              <w:pStyle w:val="69"/>
              <w:rPr>
                <w:rFonts w:cs="Arial"/>
                <w:snapToGrid w:val="0"/>
                <w:lang w:eastAsia="ko-KR"/>
              </w:rPr>
            </w:pPr>
            <w:r>
              <w:rPr>
                <w:rFonts w:hint="eastAsia" w:cs="Arial"/>
                <w:snapToGrid w:val="0"/>
              </w:rPr>
              <w:t>2</w:t>
            </w:r>
            <w:r>
              <w:rPr>
                <w:rFonts w:cs="Arial"/>
                <w:snapToGrid w:val="0"/>
              </w:rPr>
              <w:t>4</w:t>
            </w:r>
          </w:p>
        </w:tc>
        <w:tc>
          <w:tcPr>
            <w:tcW w:w="927" w:type="pct"/>
          </w:tcPr>
          <w:p w14:paraId="47ABE8CD">
            <w:pPr>
              <w:pStyle w:val="69"/>
              <w:rPr>
                <w:snapToGrid w:val="0"/>
              </w:rPr>
            </w:pPr>
            <w:r>
              <w:rPr>
                <w:rFonts w:hint="eastAsia"/>
                <w:snapToGrid w:val="0"/>
              </w:rPr>
              <w:t>1</w:t>
            </w:r>
            <w:r>
              <w:rPr>
                <w:snapToGrid w:val="0"/>
              </w:rPr>
              <w:t>0</w:t>
            </w:r>
          </w:p>
        </w:tc>
        <w:tc>
          <w:tcPr>
            <w:tcW w:w="905" w:type="pct"/>
          </w:tcPr>
          <w:p w14:paraId="4E10944C">
            <w:pPr>
              <w:pStyle w:val="69"/>
              <w:rPr>
                <w:snapToGrid w:val="0"/>
              </w:rPr>
            </w:pPr>
            <w:r>
              <w:rPr>
                <w:rFonts w:hint="eastAsia"/>
                <w:snapToGrid w:val="0"/>
              </w:rPr>
              <w:t>8</w:t>
            </w:r>
            <w:r>
              <w:rPr>
                <w:snapToGrid w:val="0"/>
              </w:rPr>
              <w:t>0</w:t>
            </w:r>
          </w:p>
        </w:tc>
        <w:tc>
          <w:tcPr>
            <w:tcW w:w="1242" w:type="pct"/>
          </w:tcPr>
          <w:p w14:paraId="06DE6F11">
            <w:pPr>
              <w:pStyle w:val="69"/>
            </w:pPr>
            <w:r>
              <w:rPr>
                <w:rFonts w:hint="eastAsia"/>
              </w:rPr>
              <w:t>5</w:t>
            </w:r>
            <w:r>
              <w:t>4</w:t>
            </w:r>
            <w:r>
              <w:rPr>
                <w:vertAlign w:val="superscript"/>
              </w:rPr>
              <w:t>Note 1</w:t>
            </w:r>
          </w:p>
        </w:tc>
        <w:tc>
          <w:tcPr>
            <w:tcW w:w="1243" w:type="pct"/>
          </w:tcPr>
          <w:p w14:paraId="23270B6A">
            <w:pPr>
              <w:pStyle w:val="69"/>
            </w:pPr>
            <w:r>
              <w:t>Inter-Frequency E-UTRAN FDD and TDD</w:t>
            </w:r>
            <w:r>
              <w:rPr>
                <w:rFonts w:hint="eastAsia"/>
              </w:rPr>
              <w:t xml:space="preserve"> </w:t>
            </w:r>
            <w:r>
              <w:rPr>
                <w:rFonts w:hint="eastAsia"/>
                <w:vertAlign w:val="superscript"/>
              </w:rPr>
              <w:t>N</w:t>
            </w:r>
            <w:r>
              <w:rPr>
                <w:vertAlign w:val="superscript"/>
              </w:rPr>
              <w:t>ote 11</w:t>
            </w:r>
          </w:p>
        </w:tc>
      </w:tr>
      <w:tr w14:paraId="3382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3" w:type="pct"/>
          </w:tcPr>
          <w:p w14:paraId="53A11CDF">
            <w:pPr>
              <w:pStyle w:val="69"/>
              <w:rPr>
                <w:rFonts w:cs="Arial"/>
                <w:snapToGrid w:val="0"/>
                <w:lang w:eastAsia="ko-KR"/>
              </w:rPr>
            </w:pPr>
            <w:r>
              <w:rPr>
                <w:rFonts w:hint="eastAsia" w:cs="Arial"/>
                <w:snapToGrid w:val="0"/>
              </w:rPr>
              <w:t>2</w:t>
            </w:r>
            <w:r>
              <w:rPr>
                <w:rFonts w:cs="Arial"/>
                <w:snapToGrid w:val="0"/>
              </w:rPr>
              <w:t>5</w:t>
            </w:r>
          </w:p>
        </w:tc>
        <w:tc>
          <w:tcPr>
            <w:tcW w:w="927" w:type="pct"/>
          </w:tcPr>
          <w:p w14:paraId="535D47E4">
            <w:pPr>
              <w:pStyle w:val="69"/>
              <w:rPr>
                <w:snapToGrid w:val="0"/>
              </w:rPr>
            </w:pPr>
            <w:r>
              <w:rPr>
                <w:rFonts w:hint="eastAsia"/>
                <w:snapToGrid w:val="0"/>
              </w:rPr>
              <w:t>2</w:t>
            </w:r>
            <w:r>
              <w:rPr>
                <w:snapToGrid w:val="0"/>
              </w:rPr>
              <w:t>0</w:t>
            </w:r>
          </w:p>
        </w:tc>
        <w:tc>
          <w:tcPr>
            <w:tcW w:w="905" w:type="pct"/>
          </w:tcPr>
          <w:p w14:paraId="34944F7A">
            <w:pPr>
              <w:pStyle w:val="69"/>
              <w:rPr>
                <w:snapToGrid w:val="0"/>
              </w:rPr>
            </w:pPr>
            <w:r>
              <w:rPr>
                <w:rFonts w:hint="eastAsia"/>
                <w:snapToGrid w:val="0"/>
              </w:rPr>
              <w:t>1</w:t>
            </w:r>
            <w:r>
              <w:rPr>
                <w:snapToGrid w:val="0"/>
              </w:rPr>
              <w:t>60</w:t>
            </w:r>
          </w:p>
        </w:tc>
        <w:tc>
          <w:tcPr>
            <w:tcW w:w="1242" w:type="pct"/>
          </w:tcPr>
          <w:p w14:paraId="59BE04E0">
            <w:pPr>
              <w:pStyle w:val="69"/>
            </w:pPr>
            <w:r>
              <w:t>Note 3</w:t>
            </w:r>
          </w:p>
        </w:tc>
        <w:tc>
          <w:tcPr>
            <w:tcW w:w="1243" w:type="pct"/>
          </w:tcPr>
          <w:p w14:paraId="0E0029BC">
            <w:pPr>
              <w:pStyle w:val="69"/>
            </w:pPr>
            <w:r>
              <w:t>Note 11</w:t>
            </w:r>
          </w:p>
        </w:tc>
      </w:tr>
      <w:tr w14:paraId="54E3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14:paraId="013090DC">
            <w:pPr>
              <w:pStyle w:val="71"/>
            </w:pPr>
            <w:r>
              <w:t>NOTE 1:</w:t>
            </w:r>
            <w:r>
              <w:rPr>
                <w:rFonts w:cs="Arial"/>
              </w:rPr>
              <w:tab/>
            </w:r>
            <w:r>
              <w:t xml:space="preserve">When determing UE requirements using Tinter1 for GP2, 3, </w:t>
            </w:r>
            <w:r>
              <w:rPr>
                <w:rFonts w:hint="eastAsia" w:eastAsia="宋体"/>
                <w:bCs/>
              </w:rPr>
              <w:t>4, 6, 7, 8, 10</w:t>
            </w:r>
            <w:r>
              <w:rPr>
                <w:rFonts w:eastAsia="宋体"/>
                <w:bCs/>
              </w:rPr>
              <w:t>,</w:t>
            </w:r>
            <w:r>
              <w:t xml:space="preserve"> Tinter1 = </w:t>
            </w:r>
            <w:r>
              <w:rPr>
                <w:rFonts w:cs="Arial"/>
                <w:lang w:eastAsia="ko-KR"/>
              </w:rPr>
              <w:t>60</w:t>
            </w:r>
            <w:r>
              <w:t xml:space="preserve"> for GP2</w:t>
            </w:r>
            <w:r>
              <w:rPr>
                <w:rFonts w:hint="eastAsia" w:eastAsia="宋体"/>
              </w:rPr>
              <w:t>,</w:t>
            </w:r>
            <w:r>
              <w:rPr>
                <w:rFonts w:hint="eastAsia" w:eastAsia="宋体"/>
                <w:bCs/>
              </w:rPr>
              <w:t xml:space="preserve"> GP4, GP6, GP7, GP10</w:t>
            </w:r>
            <w:r>
              <w:t xml:space="preserve"> and Tinter1 = </w:t>
            </w:r>
            <w:r>
              <w:rPr>
                <w:rFonts w:cs="Arial"/>
                <w:lang w:eastAsia="ko-KR"/>
              </w:rPr>
              <w:t>30</w:t>
            </w:r>
            <w:r>
              <w:t xml:space="preserve"> for GP3</w:t>
            </w:r>
            <w:r>
              <w:rPr>
                <w:rFonts w:eastAsia="宋体"/>
              </w:rPr>
              <w:t xml:space="preserve">, </w:t>
            </w:r>
            <w:r>
              <w:rPr>
                <w:rFonts w:eastAsia="宋体"/>
                <w:bCs/>
              </w:rPr>
              <w:t>GP</w:t>
            </w:r>
            <w:r>
              <w:rPr>
                <w:rFonts w:hint="eastAsia" w:eastAsia="宋体"/>
                <w:bCs/>
              </w:rPr>
              <w:t>8</w:t>
            </w:r>
            <w:r>
              <w:t xml:space="preserve"> and GP24 shall be used.</w:t>
            </w:r>
          </w:p>
          <w:p w14:paraId="363DCA12">
            <w:pPr>
              <w:pStyle w:val="71"/>
            </w:pPr>
            <w:r>
              <w:t>NOTE 2:</w:t>
            </w:r>
            <w:r>
              <w:rPr>
                <w:rFonts w:cs="Arial"/>
              </w:rPr>
              <w:tab/>
            </w:r>
            <w:r>
              <w:rPr>
                <w:bCs/>
              </w:rPr>
              <w:t>Void.</w:t>
            </w:r>
          </w:p>
          <w:p w14:paraId="381FE493">
            <w:pPr>
              <w:pStyle w:val="71"/>
            </w:pPr>
            <w:r>
              <w:t>NOTE 3:</w:t>
            </w:r>
            <w:r>
              <w:rPr>
                <w:rFonts w:cs="Arial"/>
              </w:rPr>
              <w:tab/>
            </w:r>
            <w:r>
              <w:t>This gap pattern can be used only for measurement of NR carriers, and Tinter is not applicable.</w:t>
            </w:r>
          </w:p>
          <w:p w14:paraId="159F7C17">
            <w:pPr>
              <w:pStyle w:val="71"/>
            </w:pPr>
            <w:r>
              <w:t>NOTE 4:</w:t>
            </w:r>
            <w:r>
              <w:rPr>
                <w:rFonts w:cs="Arial"/>
              </w:rPr>
              <w:tab/>
            </w:r>
            <w:r>
              <w:t>Void</w:t>
            </w:r>
          </w:p>
          <w:p w14:paraId="01F53B55">
            <w:pPr>
              <w:pStyle w:val="71"/>
              <w:rPr>
                <w:rFonts w:eastAsia="宋体"/>
                <w:bCs/>
              </w:rPr>
            </w:pPr>
            <w:r>
              <w:rPr>
                <w:rFonts w:hint="eastAsia" w:eastAsia="宋体"/>
              </w:rPr>
              <w:t>NOTE 5:</w:t>
            </w:r>
            <w:r>
              <w:rPr>
                <w:rFonts w:cs="Arial"/>
              </w:rPr>
              <w:tab/>
            </w:r>
            <w:r>
              <w:rPr>
                <w:bCs/>
              </w:rPr>
              <w:t>Void.</w:t>
            </w:r>
          </w:p>
          <w:p w14:paraId="5D67A730">
            <w:pPr>
              <w:pStyle w:val="71"/>
              <w:rPr>
                <w:bCs/>
              </w:rPr>
            </w:pPr>
            <w:r>
              <w:rPr>
                <w:rFonts w:hint="eastAsia" w:eastAsia="宋体"/>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rFonts w:hint="eastAsia"/>
                <w:bCs/>
              </w:rPr>
              <w:t xml:space="preserve">both </w:t>
            </w:r>
            <w:r>
              <w:rPr>
                <w:bCs/>
              </w:rPr>
              <w:t xml:space="preserve">E-UTRA </w:t>
            </w:r>
            <w:r>
              <w:rPr>
                <w:rFonts w:hint="eastAsia" w:eastAsia="宋体"/>
                <w:bCs/>
              </w:rPr>
              <w:t>i</w:t>
            </w:r>
            <w:r>
              <w:rPr>
                <w:bCs/>
              </w:rPr>
              <w:t xml:space="preserve">nter-frequency </w:t>
            </w:r>
            <w:r>
              <w:rPr>
                <w:rFonts w:hint="eastAsia" w:eastAsia="宋体"/>
                <w:bCs/>
              </w:rPr>
              <w:t>m</w:t>
            </w:r>
            <w:r>
              <w:rPr>
                <w:bCs/>
              </w:rPr>
              <w:t>easurement</w:t>
            </w:r>
            <w:r>
              <w:rPr>
                <w:rFonts w:hint="eastAsia" w:eastAsia="宋体"/>
                <w:bCs/>
              </w:rPr>
              <w:t xml:space="preserve"> and</w:t>
            </w:r>
            <w:r>
              <w:rPr>
                <w:rFonts w:hint="eastAsia"/>
                <w:bCs/>
              </w:rPr>
              <w:t xml:space="preserve"> </w:t>
            </w:r>
            <w:r>
              <w:rPr>
                <w:rFonts w:hint="eastAsia" w:eastAsia="宋体"/>
                <w:bCs/>
              </w:rPr>
              <w:t xml:space="preserve">inter-RAT </w:t>
            </w:r>
            <w:r>
              <w:rPr>
                <w:rFonts w:hint="eastAsia"/>
                <w:bCs/>
              </w:rPr>
              <w:t xml:space="preserve">NR measurement </w:t>
            </w:r>
            <w:r>
              <w:rPr>
                <w:rFonts w:hint="eastAsia" w:eastAsia="宋体"/>
                <w:bCs/>
              </w:rPr>
              <w:t xml:space="preserve">or </w:t>
            </w:r>
            <w:r>
              <w:t>supported</w:t>
            </w:r>
            <w:r>
              <w:rPr>
                <w:bCs/>
              </w:rPr>
              <w:t xml:space="preserve"> by UEs configured to perform inter-RAT NR measurement only.</w:t>
            </w:r>
          </w:p>
          <w:p w14:paraId="07BA8FFA">
            <w:pPr>
              <w:pStyle w:val="71"/>
            </w:pPr>
            <w:r>
              <w:t>NOTE 7:</w:t>
            </w:r>
            <w:r>
              <w:rPr>
                <w:rFonts w:cs="Arial"/>
              </w:rPr>
              <w:t xml:space="preserve"> </w:t>
            </w:r>
            <w:r>
              <w:rPr>
                <w:rFonts w:cs="Arial"/>
              </w:rPr>
              <w:tab/>
            </w:r>
            <w:r>
              <w:t>When this gap pattern is used, the T</w:t>
            </w:r>
            <w:r>
              <w:rPr>
                <w:vertAlign w:val="subscript"/>
              </w:rPr>
              <w:t>inter</w:t>
            </w:r>
            <w:r>
              <w:t xml:space="preserve"> for E-UTRA interfrequency measurements is 48ms corresponding to the first 3ms of the 4ms gap</w:t>
            </w:r>
          </w:p>
          <w:p w14:paraId="70BC9C7C">
            <w:pPr>
              <w:pStyle w:val="71"/>
              <w:rPr>
                <w:rFonts w:eastAsia="宋体"/>
              </w:rPr>
            </w:pPr>
            <w:r>
              <w:t>NOTE 8:</w:t>
            </w:r>
            <w:r>
              <w:rPr>
                <w:rFonts w:cs="Arial"/>
              </w:rPr>
              <w:t xml:space="preserve"> </w:t>
            </w:r>
            <w:r>
              <w:rPr>
                <w:rFonts w:cs="Arial"/>
              </w:rPr>
              <w:tab/>
            </w:r>
            <w:r>
              <w:t>When this gap pattern is used, the T</w:t>
            </w:r>
            <w:r>
              <w:rPr>
                <w:vertAlign w:val="subscript"/>
              </w:rPr>
              <w:t>inter</w:t>
            </w:r>
            <w:r>
              <w:t xml:space="preserve"> for E-UTRA interfrequency measurements is 24ms corresponding to the first 3ms of the 4ms gap</w:t>
            </w:r>
          </w:p>
          <w:p w14:paraId="4EB3C007">
            <w:pPr>
              <w:pStyle w:val="71"/>
            </w:pPr>
            <w:r>
              <w:t>NOTE 9:</w:t>
            </w:r>
            <w:r>
              <w:rPr>
                <w:rFonts w:cs="Arial"/>
              </w:rPr>
              <w:t xml:space="preserve"> </w:t>
            </w:r>
            <w:r>
              <w:rPr>
                <w:rFonts w:cs="Arial"/>
              </w:rPr>
              <w:tab/>
            </w:r>
            <w:r>
              <w:t>When this gap pattern is used, the T</w:t>
            </w:r>
            <w:r>
              <w:rPr>
                <w:vertAlign w:val="subscript"/>
              </w:rPr>
              <w:t>inter</w:t>
            </w:r>
            <w:r>
              <w:t xml:space="preserve"> for E-UTRA interfrequency measurements is 12ms corresponding to the first 3ms of the 4ms gap </w:t>
            </w:r>
          </w:p>
          <w:p w14:paraId="2ABCB34B">
            <w:pPr>
              <w:pStyle w:val="71"/>
            </w:pPr>
            <w:bookmarkStart w:id="16" w:name="_Hlk42031185"/>
            <w:r>
              <w:t>NOTE 10:</w:t>
            </w:r>
            <w:r>
              <w:tab/>
            </w:r>
            <w:r>
              <w:t xml:space="preserve">For UE only supporting </w:t>
            </w:r>
            <w:r>
              <w:rPr>
                <w:i/>
              </w:rPr>
              <w:t>measGapPatterns-NRonly-r16</w:t>
            </w:r>
            <w:r>
              <w:t xml:space="preserve"> for the corresponding gap patterns among GP2-11, the corresponding gap patterns are only applicable to measurement of inter-RAT NR.</w:t>
            </w:r>
            <w:bookmarkEnd w:id="16"/>
          </w:p>
          <w:p w14:paraId="63896AF5">
            <w:pPr>
              <w:pStyle w:val="71"/>
            </w:pPr>
            <w:r>
              <w:t>NOTE 11:</w:t>
            </w:r>
            <w:r>
              <w:rPr>
                <w:rFonts w:cs="Arial"/>
              </w:rPr>
              <w:t xml:space="preserve"> </w:t>
            </w:r>
            <w:r>
              <w:rPr>
                <w:rFonts w:cs="Arial"/>
              </w:rPr>
              <w:tab/>
            </w:r>
            <w:r>
              <w:rPr>
                <w:snapToGrid w:val="0"/>
              </w:rPr>
              <w:t>Measurement gap patterns #24 and #25 can be requested by NR PCell [38] only when the UE is configured at least with any of RSTD, UE Rx-Tx, or PRS-RSRP measurements requiring such gaps and can only be used during the corresponding positioning measurement period</w:t>
            </w:r>
          </w:p>
        </w:tc>
      </w:tr>
    </w:tbl>
    <w:p w14:paraId="4111F429">
      <w:pPr>
        <w:rPr>
          <w:rFonts w:hint="default" w:eastAsia="宋体"/>
          <w:lang w:val="en-US" w:eastAsia="zh-CN"/>
        </w:rPr>
      </w:pPr>
      <w:r>
        <w:rPr>
          <w:rFonts w:hint="eastAsia" w:eastAsia="宋体"/>
          <w:lang w:val="en-US" w:eastAsia="zh-CN"/>
        </w:rPr>
        <w:t>From our perspective, the parameters MeasurementGap Length and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xml:space="preserve"> would be affected by the available DL subframes. And based on the current measurement gap configuration, the value range of MeasurementGap Length may be suitable to the new TDD pattern based on network configuration. While for the m</w:t>
      </w:r>
      <w:r>
        <w:t xml:space="preserve">easurement </w:t>
      </w:r>
      <w:r>
        <w:rPr>
          <w:rFonts w:hint="eastAsia" w:eastAsia="宋体"/>
          <w:lang w:val="en-US" w:eastAsia="zh-CN"/>
        </w:rPr>
        <w:t>g</w:t>
      </w:r>
      <w:r>
        <w:t xml:space="preserve">ap </w:t>
      </w:r>
      <w:r>
        <w:rPr>
          <w:rFonts w:hint="eastAsia" w:eastAsia="宋体"/>
          <w:lang w:val="en-US" w:eastAsia="zh-CN"/>
        </w:rPr>
        <w:t>r</w:t>
      </w:r>
      <w:r>
        <w:t xml:space="preserve">epetition </w:t>
      </w:r>
      <w:r>
        <w:rPr>
          <w:rFonts w:hint="eastAsia" w:eastAsia="宋体"/>
          <w:lang w:val="en-US" w:eastAsia="zh-CN"/>
        </w:rPr>
        <w:t>p</w:t>
      </w:r>
      <w:r>
        <w:t>eriod</w:t>
      </w:r>
      <w:r>
        <w:rPr>
          <w:rFonts w:hint="eastAsia" w:eastAsia="宋体"/>
          <w:lang w:val="en-US" w:eastAsia="zh-CN"/>
        </w:rPr>
        <w:t>, some new values could be considered based on the available DL subframes in one new TDD pattern period, for example, 90ms (i.e. corresponding to the period of the new TDD pattern) and multiples of 90ms. Therefore, measurement gap configuration enhancements could be discussed to match the new TDD pattern.</w:t>
      </w:r>
    </w:p>
    <w:p w14:paraId="65D280D2">
      <w:pPr>
        <w:pStyle w:val="60"/>
        <w:spacing w:after="0"/>
        <w:ind w:left="0" w:firstLine="0"/>
        <w:rPr>
          <w:rFonts w:hint="default" w:eastAsia="宋体"/>
          <w:b/>
          <w:bCs/>
          <w:lang w:val="en-US" w:eastAsia="zh-CN"/>
        </w:rPr>
      </w:pPr>
      <w:r>
        <w:rPr>
          <w:rFonts w:hint="eastAsia" w:eastAsia="宋体"/>
          <w:b/>
          <w:bCs/>
          <w:lang w:val="en-US" w:eastAsia="zh-CN"/>
        </w:rPr>
        <w:t>Proposal 7: It is proposed that measurement gap configuration enhancements (e.g introduction of new measurement gap repetition period values) could be discussed to match the new TDD pattern.</w:t>
      </w:r>
    </w:p>
    <w:bookmarkEnd w:id="2"/>
    <w:p w14:paraId="783406F2">
      <w:pPr>
        <w:pStyle w:val="2"/>
        <w:rPr>
          <w:rFonts w:cs="Arial"/>
          <w:sz w:val="32"/>
          <w:szCs w:val="32"/>
        </w:rPr>
      </w:pPr>
      <w:r>
        <w:rPr>
          <w:rFonts w:cs="Arial"/>
          <w:sz w:val="32"/>
          <w:szCs w:val="32"/>
        </w:rPr>
        <w:t>Conclusion</w:t>
      </w:r>
    </w:p>
    <w:p w14:paraId="5020A80D">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IoT-NTN TDD mode</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 and </w:t>
      </w:r>
      <w:r>
        <w:rPr>
          <w:rFonts w:eastAsia="宋体" w:cs="Arial"/>
          <w:sz w:val="20"/>
          <w:szCs w:val="20"/>
        </w:rPr>
        <w:t>proposals:</w:t>
      </w:r>
    </w:p>
    <w:p w14:paraId="2F0646B1">
      <w:pPr>
        <w:pStyle w:val="60"/>
        <w:spacing w:after="0"/>
        <w:ind w:left="0" w:firstLine="0"/>
        <w:rPr>
          <w:rFonts w:hint="eastAsia" w:eastAsiaTheme="minorEastAsia"/>
          <w:b w:val="0"/>
          <w:bCs w:val="0"/>
          <w:sz w:val="20"/>
          <w:szCs w:val="20"/>
          <w:lang w:val="en-US" w:eastAsia="zh-CN"/>
        </w:rPr>
      </w:pPr>
      <w:r>
        <w:rPr>
          <w:rFonts w:hint="eastAsia" w:eastAsia="宋体"/>
          <w:b/>
          <w:bCs/>
          <w:lang w:val="en-US" w:eastAsia="zh-CN"/>
        </w:rPr>
        <w:t>Proposal 1: (CAP-1) It is proposed to support the IoT-NTN TDD mode with a conditionally mandatory capability type as in the latest 36.306 running CR.</w:t>
      </w:r>
    </w:p>
    <w:p w14:paraId="7FE88D03">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Proposal 2: No need to extend the k-Mac for IoT NTN and NR NTN.</w:t>
      </w:r>
    </w:p>
    <w:p w14:paraId="35C55B66">
      <w:pPr>
        <w:pStyle w:val="60"/>
        <w:spacing w:after="0"/>
        <w:ind w:left="0" w:firstLine="0"/>
        <w:rPr>
          <w:rFonts w:hint="eastAsia" w:eastAsiaTheme="minorEastAsia"/>
          <w:b/>
          <w:bCs/>
          <w:sz w:val="20"/>
          <w:szCs w:val="20"/>
          <w:lang w:val="en-US" w:eastAsia="zh-CN"/>
        </w:rPr>
      </w:pPr>
      <w:r>
        <w:rPr>
          <w:rFonts w:hint="eastAsia" w:eastAsia="宋体"/>
          <w:b/>
          <w:bCs/>
          <w:lang w:val="en-US" w:eastAsia="zh-CN"/>
        </w:rPr>
        <w:t>Proposal 3: If the calculated subframe is invalid, the start time of the SI-window could be postponed to the next valid DL subframe.</w:t>
      </w:r>
    </w:p>
    <w:p w14:paraId="50C7305E">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Compared to the new IoT-NTN TDD pattern, there might be much shorter/fewer invalid subframes for legacy NB-IoT.</w:t>
      </w:r>
    </w:p>
    <w:p w14:paraId="73F33BBA">
      <w:pPr>
        <w:pStyle w:val="60"/>
        <w:spacing w:after="0"/>
        <w:ind w:left="0" w:firstLine="0"/>
        <w:rPr>
          <w:rFonts w:hint="eastAsia" w:eastAsiaTheme="minorEastAsia"/>
          <w:b/>
          <w:bCs/>
          <w:sz w:val="20"/>
          <w:szCs w:val="20"/>
          <w:lang w:val="en-US" w:eastAsia="zh-CN"/>
        </w:rPr>
      </w:pPr>
      <w:r>
        <w:rPr>
          <w:rFonts w:hint="eastAsia" w:eastAsiaTheme="minorEastAsia"/>
          <w:b/>
          <w:bCs/>
          <w:sz w:val="20"/>
          <w:szCs w:val="20"/>
          <w:lang w:val="en-US" w:eastAsia="zh-CN"/>
        </w:rPr>
        <w:t xml:space="preserve">Proposal 4: Kindly suggest RAN2 to add clarification that it is up to UE implementation to suspend the timers in invalid DL subframes duration and resume when valid subframes occur. </w:t>
      </w:r>
    </w:p>
    <w:p w14:paraId="6104993B">
      <w:pPr>
        <w:pStyle w:val="60"/>
        <w:spacing w:after="0"/>
        <w:ind w:left="0" w:firstLine="0"/>
        <w:rPr>
          <w:rFonts w:hint="default" w:eastAsiaTheme="minorEastAsia"/>
          <w:b/>
          <w:bCs/>
          <w:sz w:val="20"/>
          <w:szCs w:val="20"/>
          <w:lang w:val="en-US" w:eastAsia="zh-CN"/>
        </w:rPr>
      </w:pPr>
      <w:r>
        <w:rPr>
          <w:rFonts w:hint="eastAsia" w:eastAsia="宋体"/>
          <w:b/>
          <w:bCs/>
          <w:lang w:val="en-US" w:eastAsia="zh-CN"/>
        </w:rPr>
        <w:t>Proposal 5: Regarding the DL bitmap (downlinkBitmap / downlinkBitmapNonAnchor), the related modification in the latest running CR [4] could be supported.</w:t>
      </w:r>
    </w:p>
    <w:p w14:paraId="2FA784B0">
      <w:pPr>
        <w:pStyle w:val="60"/>
        <w:spacing w:after="0"/>
        <w:ind w:left="0" w:firstLine="0"/>
        <w:rPr>
          <w:rFonts w:hint="default" w:eastAsia="宋体"/>
          <w:b/>
          <w:bCs/>
          <w:lang w:val="en-US" w:eastAsia="zh-CN"/>
        </w:rPr>
      </w:pPr>
      <w:r>
        <w:rPr>
          <w:rFonts w:hint="eastAsia" w:eastAsia="宋体"/>
          <w:b/>
          <w:bCs/>
          <w:lang w:val="en-US" w:eastAsia="zh-CN"/>
        </w:rPr>
        <w:t>Proposal 6: It is proposed that if the NB-IoT NTN system operates in TDD mode, the HARQ feedback is disabled by default, and to be simple, we could just add related description in TS 36.300.</w:t>
      </w:r>
    </w:p>
    <w:p w14:paraId="14CF0193">
      <w:pPr>
        <w:pStyle w:val="60"/>
        <w:spacing w:after="0"/>
        <w:ind w:left="0" w:firstLine="0"/>
        <w:rPr>
          <w:rFonts w:hint="default" w:eastAsia="宋体"/>
          <w:b/>
          <w:bCs/>
          <w:lang w:val="en-US" w:eastAsia="zh-CN"/>
        </w:rPr>
      </w:pPr>
      <w:r>
        <w:rPr>
          <w:rFonts w:hint="eastAsia" w:eastAsia="宋体"/>
          <w:b/>
          <w:bCs/>
          <w:lang w:val="en-US" w:eastAsia="zh-CN"/>
        </w:rPr>
        <w:t>Proposal 7: It is proposed that measurement gap configuration enhancements (e.g introduction of new measurement gap repetition period values) could be discussed to match the new TDD pattern.</w:t>
      </w:r>
    </w:p>
    <w:p w14:paraId="0119805D">
      <w:pPr>
        <w:pStyle w:val="2"/>
        <w:rPr>
          <w:rFonts w:cs="Arial"/>
          <w:sz w:val="32"/>
          <w:szCs w:val="32"/>
        </w:rPr>
      </w:pPr>
      <w:r>
        <w:rPr>
          <w:rFonts w:cs="Arial"/>
          <w:sz w:val="32"/>
          <w:szCs w:val="32"/>
        </w:rPr>
        <w:t>Reference</w:t>
      </w:r>
    </w:p>
    <w:p w14:paraId="6C591101">
      <w:pPr>
        <w:pStyle w:val="27"/>
        <w:numPr>
          <w:ilvl w:val="0"/>
          <w:numId w:val="17"/>
        </w:numPr>
        <w:overflowPunct/>
        <w:autoSpaceDE/>
        <w:autoSpaceDN/>
        <w:adjustRightInd/>
        <w:spacing w:beforeLines="50" w:after="0"/>
        <w:jc w:val="left"/>
        <w:textAlignment w:val="auto"/>
        <w:rPr>
          <w:rFonts w:hint="eastAsia"/>
          <w:sz w:val="20"/>
          <w:szCs w:val="20"/>
        </w:rPr>
      </w:pPr>
      <w:bookmarkStart w:id="17" w:name="_In-sequence_SDU_delivery"/>
      <w:bookmarkEnd w:id="17"/>
      <w:r>
        <w:rPr>
          <w:rFonts w:hint="eastAsia"/>
          <w:sz w:val="20"/>
          <w:szCs w:val="20"/>
        </w:rPr>
        <w:t>R2-130 NR-NTN-IoT-NTN (Sergio)_ EOM</w:t>
      </w:r>
    </w:p>
    <w:p w14:paraId="2149A954">
      <w:pPr>
        <w:pStyle w:val="27"/>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Chair notes RAN1#12</w:t>
      </w:r>
      <w:r>
        <w:rPr>
          <w:rFonts w:hint="eastAsia" w:eastAsia="宋体"/>
          <w:sz w:val="20"/>
          <w:szCs w:val="20"/>
          <w:lang w:val="en-US" w:eastAsia="zh-CN"/>
        </w:rPr>
        <w:t>1</w:t>
      </w:r>
      <w:r>
        <w:rPr>
          <w:rFonts w:hint="eastAsia"/>
          <w:sz w:val="20"/>
          <w:szCs w:val="20"/>
        </w:rPr>
        <w:t xml:space="preserve"> eom</w:t>
      </w:r>
    </w:p>
    <w:p w14:paraId="1389685A">
      <w:pPr>
        <w:pStyle w:val="27"/>
        <w:numPr>
          <w:ilvl w:val="0"/>
          <w:numId w:val="17"/>
        </w:numPr>
        <w:overflowPunct/>
        <w:autoSpaceDE/>
        <w:autoSpaceDN/>
        <w:adjustRightInd/>
        <w:spacing w:beforeLines="50" w:after="0"/>
        <w:jc w:val="left"/>
        <w:textAlignment w:val="auto"/>
        <w:rPr>
          <w:rFonts w:hint="eastAsia"/>
          <w:sz w:val="20"/>
          <w:szCs w:val="20"/>
        </w:rPr>
      </w:pPr>
      <w:r>
        <w:rPr>
          <w:rFonts w:hint="eastAsia" w:ascii="Arial" w:hAnsi="Arial" w:eastAsia="Malgun Gothic"/>
          <w:bCs/>
          <w:lang w:eastAsia="en-US"/>
        </w:rPr>
        <w:t>R1-2504676</w:t>
      </w:r>
      <w:r>
        <w:rPr>
          <w:rFonts w:hint="eastAsia" w:eastAsia="宋体"/>
          <w:bCs/>
          <w:lang w:val="en-US" w:eastAsia="zh-CN"/>
        </w:rPr>
        <w:t xml:space="preserve"> </w:t>
      </w:r>
      <w:r>
        <w:rPr>
          <w:rFonts w:ascii="Arial" w:hAnsi="Arial" w:eastAsia="Malgun Gothic"/>
          <w:bCs/>
          <w:lang w:eastAsia="en-US"/>
        </w:rPr>
        <w:t>Updated RAN1 UE features list for Rel-19 LTE after RAN1 #121</w:t>
      </w:r>
    </w:p>
    <w:p w14:paraId="02E0E27D">
      <w:pPr>
        <w:pStyle w:val="27"/>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R2-250xxxx RRC Runing CR for IoT-NTN TDD mode_v14_Rapp - clean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9A9FA">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874E3">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0F046">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41BD">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B2E91">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7391D">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3402789"/>
    <w:multiLevelType w:val="multilevel"/>
    <w:tmpl w:val="13402789"/>
    <w:lvl w:ilvl="0" w:tentative="0">
      <w:start w:val="2"/>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19917804"/>
    <w:multiLevelType w:val="multilevel"/>
    <w:tmpl w:val="199178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483CD10"/>
    <w:multiLevelType w:val="singleLevel"/>
    <w:tmpl w:val="3483CD10"/>
    <w:lvl w:ilvl="0" w:tentative="0">
      <w:start w:val="1"/>
      <w:numFmt w:val="decimal"/>
      <w:lvlText w:val="%1&gt;"/>
      <w:lvlJc w:val="left"/>
    </w:lvl>
  </w:abstractNum>
  <w:abstractNum w:abstractNumId="7">
    <w:nsid w:val="3A995281"/>
    <w:multiLevelType w:val="multilevel"/>
    <w:tmpl w:val="3A995281"/>
    <w:lvl w:ilvl="0" w:tentative="0">
      <w:start w:val="7"/>
      <w:numFmt w:val="bullet"/>
      <w:lvlText w:val="-"/>
      <w:lvlJc w:val="left"/>
      <w:pPr>
        <w:ind w:left="1619" w:hanging="360"/>
      </w:pPr>
      <w:rPr>
        <w:rFonts w:hint="default" w:ascii="Arial" w:hAnsi="Arial" w:eastAsia="MS Mincho" w:cs="Arial"/>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8">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72B7F55"/>
    <w:multiLevelType w:val="multilevel"/>
    <w:tmpl w:val="772B7F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13"/>
  </w:num>
  <w:num w:numId="4">
    <w:abstractNumId w:val="10"/>
  </w:num>
  <w:num w:numId="5">
    <w:abstractNumId w:val="4"/>
  </w:num>
  <w:num w:numId="6">
    <w:abstractNumId w:val="9"/>
  </w:num>
  <w:num w:numId="7">
    <w:abstractNumId w:val="11"/>
  </w:num>
  <w:num w:numId="8">
    <w:abstractNumId w:val="8"/>
  </w:num>
  <w:num w:numId="9">
    <w:abstractNumId w:val="12"/>
  </w:num>
  <w:num w:numId="10">
    <w:abstractNumId w:val="15"/>
  </w:num>
  <w:num w:numId="11">
    <w:abstractNumId w:val="14"/>
  </w:num>
  <w:num w:numId="12">
    <w:abstractNumId w:val="16"/>
  </w:num>
  <w:num w:numId="13">
    <w:abstractNumId w:val="3"/>
  </w:num>
  <w:num w:numId="14">
    <w:abstractNumId w:val="2"/>
  </w:num>
  <w:num w:numId="15">
    <w:abstractNumId w:val="7"/>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068C"/>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4B6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06F4B"/>
    <w:rsid w:val="01187207"/>
    <w:rsid w:val="01426C64"/>
    <w:rsid w:val="015036AA"/>
    <w:rsid w:val="015B631E"/>
    <w:rsid w:val="016318F9"/>
    <w:rsid w:val="017A73D0"/>
    <w:rsid w:val="018E0749"/>
    <w:rsid w:val="019A10AD"/>
    <w:rsid w:val="01A21D3D"/>
    <w:rsid w:val="01A659EC"/>
    <w:rsid w:val="01BD103E"/>
    <w:rsid w:val="01BF172D"/>
    <w:rsid w:val="01CD2E76"/>
    <w:rsid w:val="01E74520"/>
    <w:rsid w:val="02040ADD"/>
    <w:rsid w:val="021F6B8A"/>
    <w:rsid w:val="022F4B03"/>
    <w:rsid w:val="023B087A"/>
    <w:rsid w:val="026E2D25"/>
    <w:rsid w:val="02744528"/>
    <w:rsid w:val="02877C19"/>
    <w:rsid w:val="028D67E7"/>
    <w:rsid w:val="02CC0A1F"/>
    <w:rsid w:val="02D22694"/>
    <w:rsid w:val="02DD0987"/>
    <w:rsid w:val="02F75012"/>
    <w:rsid w:val="034F0AFF"/>
    <w:rsid w:val="035845AA"/>
    <w:rsid w:val="03A11802"/>
    <w:rsid w:val="03A70CE2"/>
    <w:rsid w:val="03CD053C"/>
    <w:rsid w:val="03F47F88"/>
    <w:rsid w:val="0416334A"/>
    <w:rsid w:val="04726FC9"/>
    <w:rsid w:val="047D246A"/>
    <w:rsid w:val="048A5003"/>
    <w:rsid w:val="04A13B04"/>
    <w:rsid w:val="04B403C6"/>
    <w:rsid w:val="04BC080F"/>
    <w:rsid w:val="04BF107F"/>
    <w:rsid w:val="04CF4520"/>
    <w:rsid w:val="04D25727"/>
    <w:rsid w:val="04DA176A"/>
    <w:rsid w:val="04EF7190"/>
    <w:rsid w:val="04F07943"/>
    <w:rsid w:val="04F50E2F"/>
    <w:rsid w:val="050745CD"/>
    <w:rsid w:val="05174061"/>
    <w:rsid w:val="051D3A75"/>
    <w:rsid w:val="05606A49"/>
    <w:rsid w:val="059476CF"/>
    <w:rsid w:val="05983EBC"/>
    <w:rsid w:val="05A35E9B"/>
    <w:rsid w:val="05A67783"/>
    <w:rsid w:val="06072EC4"/>
    <w:rsid w:val="06077EDA"/>
    <w:rsid w:val="06254DA5"/>
    <w:rsid w:val="06261BBF"/>
    <w:rsid w:val="0654248D"/>
    <w:rsid w:val="06565EAE"/>
    <w:rsid w:val="065C74ED"/>
    <w:rsid w:val="06724B04"/>
    <w:rsid w:val="06B1007F"/>
    <w:rsid w:val="06B42119"/>
    <w:rsid w:val="06CC6B52"/>
    <w:rsid w:val="06F35128"/>
    <w:rsid w:val="06F64396"/>
    <w:rsid w:val="07046057"/>
    <w:rsid w:val="078017DE"/>
    <w:rsid w:val="078C1F33"/>
    <w:rsid w:val="07B241B1"/>
    <w:rsid w:val="07B959B1"/>
    <w:rsid w:val="07BD374D"/>
    <w:rsid w:val="07E06570"/>
    <w:rsid w:val="07E769A5"/>
    <w:rsid w:val="07EF7893"/>
    <w:rsid w:val="08350D3C"/>
    <w:rsid w:val="083C3DD7"/>
    <w:rsid w:val="083F0917"/>
    <w:rsid w:val="0841118C"/>
    <w:rsid w:val="087C25B2"/>
    <w:rsid w:val="08AF444E"/>
    <w:rsid w:val="08F65DA6"/>
    <w:rsid w:val="09133D3D"/>
    <w:rsid w:val="09B253B3"/>
    <w:rsid w:val="09BB5B6F"/>
    <w:rsid w:val="09E47F26"/>
    <w:rsid w:val="09F46CE4"/>
    <w:rsid w:val="0A1A51CE"/>
    <w:rsid w:val="0A241BD4"/>
    <w:rsid w:val="0A3F21EB"/>
    <w:rsid w:val="0A5E59A5"/>
    <w:rsid w:val="0A9740DA"/>
    <w:rsid w:val="0AA40C7E"/>
    <w:rsid w:val="0ACC0F45"/>
    <w:rsid w:val="0AE37DD0"/>
    <w:rsid w:val="0B080B5F"/>
    <w:rsid w:val="0B4A1814"/>
    <w:rsid w:val="0B510D2F"/>
    <w:rsid w:val="0B767B3C"/>
    <w:rsid w:val="0B8641C7"/>
    <w:rsid w:val="0BA01FBF"/>
    <w:rsid w:val="0BAE26FE"/>
    <w:rsid w:val="0BCF37C5"/>
    <w:rsid w:val="0BD60B5C"/>
    <w:rsid w:val="0BD64049"/>
    <w:rsid w:val="0C045FCB"/>
    <w:rsid w:val="0C0E133A"/>
    <w:rsid w:val="0C177D5B"/>
    <w:rsid w:val="0C187DEE"/>
    <w:rsid w:val="0C4B2410"/>
    <w:rsid w:val="0C533FE6"/>
    <w:rsid w:val="0C6D0380"/>
    <w:rsid w:val="0C984883"/>
    <w:rsid w:val="0CAE5B2E"/>
    <w:rsid w:val="0CD409FF"/>
    <w:rsid w:val="0D230B04"/>
    <w:rsid w:val="0D524167"/>
    <w:rsid w:val="0D587FCA"/>
    <w:rsid w:val="0D6133DD"/>
    <w:rsid w:val="0D671FA8"/>
    <w:rsid w:val="0D681ED9"/>
    <w:rsid w:val="0D6C179F"/>
    <w:rsid w:val="0D925BB9"/>
    <w:rsid w:val="0D987429"/>
    <w:rsid w:val="0DA013F6"/>
    <w:rsid w:val="0DB73290"/>
    <w:rsid w:val="0DDB664A"/>
    <w:rsid w:val="0E2944A5"/>
    <w:rsid w:val="0E336CD8"/>
    <w:rsid w:val="0E891356"/>
    <w:rsid w:val="0E997EF0"/>
    <w:rsid w:val="0EC440FF"/>
    <w:rsid w:val="0EF139CD"/>
    <w:rsid w:val="0FB354FB"/>
    <w:rsid w:val="0FCC0A5A"/>
    <w:rsid w:val="0FE0018D"/>
    <w:rsid w:val="0FF46724"/>
    <w:rsid w:val="10221AC0"/>
    <w:rsid w:val="106E3473"/>
    <w:rsid w:val="108131DD"/>
    <w:rsid w:val="108230A5"/>
    <w:rsid w:val="10F56664"/>
    <w:rsid w:val="10F7298E"/>
    <w:rsid w:val="11043CD0"/>
    <w:rsid w:val="110F10D1"/>
    <w:rsid w:val="1119491C"/>
    <w:rsid w:val="117C0058"/>
    <w:rsid w:val="118D209C"/>
    <w:rsid w:val="11936376"/>
    <w:rsid w:val="11B82D63"/>
    <w:rsid w:val="11C5063A"/>
    <w:rsid w:val="12B27083"/>
    <w:rsid w:val="12BA7EC6"/>
    <w:rsid w:val="12D20EAC"/>
    <w:rsid w:val="13116F0E"/>
    <w:rsid w:val="13132FCE"/>
    <w:rsid w:val="134A0035"/>
    <w:rsid w:val="135C7F4F"/>
    <w:rsid w:val="1382544E"/>
    <w:rsid w:val="13997B36"/>
    <w:rsid w:val="13BC3D5B"/>
    <w:rsid w:val="13BF03D8"/>
    <w:rsid w:val="141B1C76"/>
    <w:rsid w:val="14281C22"/>
    <w:rsid w:val="14643005"/>
    <w:rsid w:val="14A20FFB"/>
    <w:rsid w:val="14B67E3C"/>
    <w:rsid w:val="14B82DC6"/>
    <w:rsid w:val="14E763B9"/>
    <w:rsid w:val="1518593F"/>
    <w:rsid w:val="153214F9"/>
    <w:rsid w:val="153372CB"/>
    <w:rsid w:val="154410F5"/>
    <w:rsid w:val="16150148"/>
    <w:rsid w:val="16563130"/>
    <w:rsid w:val="16800EA7"/>
    <w:rsid w:val="169343E9"/>
    <w:rsid w:val="16A42650"/>
    <w:rsid w:val="16AA08E2"/>
    <w:rsid w:val="16BE338F"/>
    <w:rsid w:val="16D12C71"/>
    <w:rsid w:val="16F24CA6"/>
    <w:rsid w:val="171B31CF"/>
    <w:rsid w:val="175A4317"/>
    <w:rsid w:val="176156CD"/>
    <w:rsid w:val="177E36D0"/>
    <w:rsid w:val="179450F0"/>
    <w:rsid w:val="17945CA4"/>
    <w:rsid w:val="17C97A7C"/>
    <w:rsid w:val="180E362D"/>
    <w:rsid w:val="181B2E1C"/>
    <w:rsid w:val="182D4589"/>
    <w:rsid w:val="18571522"/>
    <w:rsid w:val="18787128"/>
    <w:rsid w:val="18B278BB"/>
    <w:rsid w:val="18B9619D"/>
    <w:rsid w:val="18EB5907"/>
    <w:rsid w:val="190A668D"/>
    <w:rsid w:val="191242AE"/>
    <w:rsid w:val="191B61E7"/>
    <w:rsid w:val="192263F8"/>
    <w:rsid w:val="19284E79"/>
    <w:rsid w:val="195B3A6D"/>
    <w:rsid w:val="196B02E6"/>
    <w:rsid w:val="19AC5C42"/>
    <w:rsid w:val="19BC1AC5"/>
    <w:rsid w:val="19C257DC"/>
    <w:rsid w:val="19CA7B05"/>
    <w:rsid w:val="19D92839"/>
    <w:rsid w:val="19DD3DE3"/>
    <w:rsid w:val="1A201089"/>
    <w:rsid w:val="1A330485"/>
    <w:rsid w:val="1A384090"/>
    <w:rsid w:val="1A4219B8"/>
    <w:rsid w:val="1A913825"/>
    <w:rsid w:val="1AA366F2"/>
    <w:rsid w:val="1AC82085"/>
    <w:rsid w:val="1AEF5DBD"/>
    <w:rsid w:val="1B0D0BF0"/>
    <w:rsid w:val="1B1170D3"/>
    <w:rsid w:val="1B423649"/>
    <w:rsid w:val="1B510746"/>
    <w:rsid w:val="1BA24967"/>
    <w:rsid w:val="1BC71A8F"/>
    <w:rsid w:val="1BD95F94"/>
    <w:rsid w:val="1BDA5141"/>
    <w:rsid w:val="1C3D1CD0"/>
    <w:rsid w:val="1C5E7298"/>
    <w:rsid w:val="1C851710"/>
    <w:rsid w:val="1C917FBA"/>
    <w:rsid w:val="1D027DA6"/>
    <w:rsid w:val="1D2E09F8"/>
    <w:rsid w:val="1D7F0F66"/>
    <w:rsid w:val="1D82362E"/>
    <w:rsid w:val="1DA57DC6"/>
    <w:rsid w:val="1DB028A2"/>
    <w:rsid w:val="1DD14FB1"/>
    <w:rsid w:val="1DDD518B"/>
    <w:rsid w:val="1E1507D7"/>
    <w:rsid w:val="1E1F6695"/>
    <w:rsid w:val="1E3072B7"/>
    <w:rsid w:val="1E403C53"/>
    <w:rsid w:val="1EA20D4A"/>
    <w:rsid w:val="1EAA6DF5"/>
    <w:rsid w:val="1EB573ED"/>
    <w:rsid w:val="1ECC19F8"/>
    <w:rsid w:val="1EFF6958"/>
    <w:rsid w:val="1F0926FA"/>
    <w:rsid w:val="1F0A1209"/>
    <w:rsid w:val="1F734328"/>
    <w:rsid w:val="1FA11974"/>
    <w:rsid w:val="1FAE283E"/>
    <w:rsid w:val="1FB32543"/>
    <w:rsid w:val="1FC722E8"/>
    <w:rsid w:val="1FF94E8A"/>
    <w:rsid w:val="200E49C4"/>
    <w:rsid w:val="20203DE8"/>
    <w:rsid w:val="2031215C"/>
    <w:rsid w:val="20955704"/>
    <w:rsid w:val="20A06E49"/>
    <w:rsid w:val="20B73272"/>
    <w:rsid w:val="20DB7C51"/>
    <w:rsid w:val="20E9518E"/>
    <w:rsid w:val="20FE42D5"/>
    <w:rsid w:val="210067C7"/>
    <w:rsid w:val="211313D4"/>
    <w:rsid w:val="21234291"/>
    <w:rsid w:val="213F3830"/>
    <w:rsid w:val="21861202"/>
    <w:rsid w:val="218E2416"/>
    <w:rsid w:val="21C067D1"/>
    <w:rsid w:val="21E52206"/>
    <w:rsid w:val="21F817A2"/>
    <w:rsid w:val="21F86645"/>
    <w:rsid w:val="22573157"/>
    <w:rsid w:val="2269133C"/>
    <w:rsid w:val="22C4562D"/>
    <w:rsid w:val="22E840B4"/>
    <w:rsid w:val="22F34C5F"/>
    <w:rsid w:val="23144387"/>
    <w:rsid w:val="234E7F45"/>
    <w:rsid w:val="235D1C04"/>
    <w:rsid w:val="23686144"/>
    <w:rsid w:val="237C25AE"/>
    <w:rsid w:val="238E5B95"/>
    <w:rsid w:val="239A17D4"/>
    <w:rsid w:val="239F51B6"/>
    <w:rsid w:val="241B2FD5"/>
    <w:rsid w:val="242445BB"/>
    <w:rsid w:val="243F039F"/>
    <w:rsid w:val="245B6D34"/>
    <w:rsid w:val="24B3286B"/>
    <w:rsid w:val="24B5447A"/>
    <w:rsid w:val="24B82068"/>
    <w:rsid w:val="24E02080"/>
    <w:rsid w:val="24E10292"/>
    <w:rsid w:val="25043CC9"/>
    <w:rsid w:val="25311187"/>
    <w:rsid w:val="256762FD"/>
    <w:rsid w:val="25741810"/>
    <w:rsid w:val="25CD7D4E"/>
    <w:rsid w:val="25CF1B20"/>
    <w:rsid w:val="25D04052"/>
    <w:rsid w:val="25DE0600"/>
    <w:rsid w:val="26281CED"/>
    <w:rsid w:val="264B4D7A"/>
    <w:rsid w:val="265D0D96"/>
    <w:rsid w:val="269447EB"/>
    <w:rsid w:val="26B07C33"/>
    <w:rsid w:val="26D47A62"/>
    <w:rsid w:val="26FD4C6C"/>
    <w:rsid w:val="270155DC"/>
    <w:rsid w:val="270270D4"/>
    <w:rsid w:val="271C2272"/>
    <w:rsid w:val="27306E68"/>
    <w:rsid w:val="27482229"/>
    <w:rsid w:val="27606908"/>
    <w:rsid w:val="27620233"/>
    <w:rsid w:val="276D70AB"/>
    <w:rsid w:val="277E77C1"/>
    <w:rsid w:val="27AE47D9"/>
    <w:rsid w:val="27C7291F"/>
    <w:rsid w:val="27E26E59"/>
    <w:rsid w:val="27F86794"/>
    <w:rsid w:val="27FA3E65"/>
    <w:rsid w:val="2806684A"/>
    <w:rsid w:val="2809471B"/>
    <w:rsid w:val="28255BB3"/>
    <w:rsid w:val="285478B9"/>
    <w:rsid w:val="28603CA4"/>
    <w:rsid w:val="287D0002"/>
    <w:rsid w:val="287D5E75"/>
    <w:rsid w:val="28A563BE"/>
    <w:rsid w:val="28AD0B61"/>
    <w:rsid w:val="28C57FDC"/>
    <w:rsid w:val="28FA7E82"/>
    <w:rsid w:val="29161AE5"/>
    <w:rsid w:val="29423CBE"/>
    <w:rsid w:val="29462495"/>
    <w:rsid w:val="29B04DA9"/>
    <w:rsid w:val="29CD3FA9"/>
    <w:rsid w:val="2A1862C4"/>
    <w:rsid w:val="2A1D0497"/>
    <w:rsid w:val="2A4B23FB"/>
    <w:rsid w:val="2AC455D6"/>
    <w:rsid w:val="2AC82235"/>
    <w:rsid w:val="2AF0613E"/>
    <w:rsid w:val="2B083F92"/>
    <w:rsid w:val="2B2F2774"/>
    <w:rsid w:val="2B32636D"/>
    <w:rsid w:val="2B542A45"/>
    <w:rsid w:val="2B683FBF"/>
    <w:rsid w:val="2BA17E29"/>
    <w:rsid w:val="2BA576F2"/>
    <w:rsid w:val="2BB96BD3"/>
    <w:rsid w:val="2BC72D99"/>
    <w:rsid w:val="2BE54292"/>
    <w:rsid w:val="2BF00326"/>
    <w:rsid w:val="2BFC2B9D"/>
    <w:rsid w:val="2C09079D"/>
    <w:rsid w:val="2C285659"/>
    <w:rsid w:val="2C4872CD"/>
    <w:rsid w:val="2C9F2631"/>
    <w:rsid w:val="2CCC5F18"/>
    <w:rsid w:val="2CE73A8D"/>
    <w:rsid w:val="2CF51ED1"/>
    <w:rsid w:val="2CFA23BD"/>
    <w:rsid w:val="2D194C65"/>
    <w:rsid w:val="2D3B228A"/>
    <w:rsid w:val="2D5923F4"/>
    <w:rsid w:val="2D8523AE"/>
    <w:rsid w:val="2DB6192E"/>
    <w:rsid w:val="2DB67426"/>
    <w:rsid w:val="2DE774F0"/>
    <w:rsid w:val="2DF36570"/>
    <w:rsid w:val="2E103F98"/>
    <w:rsid w:val="2EB775B3"/>
    <w:rsid w:val="2EC80E25"/>
    <w:rsid w:val="2ECD5251"/>
    <w:rsid w:val="2ED54702"/>
    <w:rsid w:val="2EE85B84"/>
    <w:rsid w:val="2EF94A67"/>
    <w:rsid w:val="2EFC31BC"/>
    <w:rsid w:val="2F001319"/>
    <w:rsid w:val="2F2F4C2C"/>
    <w:rsid w:val="2F3D4E71"/>
    <w:rsid w:val="2F5F43CE"/>
    <w:rsid w:val="2FED793D"/>
    <w:rsid w:val="302E07AF"/>
    <w:rsid w:val="30687335"/>
    <w:rsid w:val="30751E86"/>
    <w:rsid w:val="30866EAA"/>
    <w:rsid w:val="30946552"/>
    <w:rsid w:val="309E20B5"/>
    <w:rsid w:val="30BF1F4D"/>
    <w:rsid w:val="30D77645"/>
    <w:rsid w:val="30F3431F"/>
    <w:rsid w:val="31174C60"/>
    <w:rsid w:val="311B0263"/>
    <w:rsid w:val="313564C5"/>
    <w:rsid w:val="31503E5A"/>
    <w:rsid w:val="31561CB1"/>
    <w:rsid w:val="316D7D0D"/>
    <w:rsid w:val="319D3380"/>
    <w:rsid w:val="31AA65B4"/>
    <w:rsid w:val="31AE180F"/>
    <w:rsid w:val="31AE4D12"/>
    <w:rsid w:val="31BB0B8C"/>
    <w:rsid w:val="31C70332"/>
    <w:rsid w:val="31E16592"/>
    <w:rsid w:val="32237627"/>
    <w:rsid w:val="3244236F"/>
    <w:rsid w:val="32476421"/>
    <w:rsid w:val="326B2AB6"/>
    <w:rsid w:val="327917A1"/>
    <w:rsid w:val="32954313"/>
    <w:rsid w:val="32A942B0"/>
    <w:rsid w:val="32B005E8"/>
    <w:rsid w:val="32EC57D5"/>
    <w:rsid w:val="32F13120"/>
    <w:rsid w:val="33164C7B"/>
    <w:rsid w:val="333000CE"/>
    <w:rsid w:val="333663A2"/>
    <w:rsid w:val="335B55F1"/>
    <w:rsid w:val="335C2711"/>
    <w:rsid w:val="336153CB"/>
    <w:rsid w:val="33863C3A"/>
    <w:rsid w:val="339F04B3"/>
    <w:rsid w:val="33A81036"/>
    <w:rsid w:val="33C32E92"/>
    <w:rsid w:val="33C80FA0"/>
    <w:rsid w:val="33E26367"/>
    <w:rsid w:val="33F614DE"/>
    <w:rsid w:val="341E7B56"/>
    <w:rsid w:val="34207E90"/>
    <w:rsid w:val="342C61EA"/>
    <w:rsid w:val="343D78A2"/>
    <w:rsid w:val="345E4C25"/>
    <w:rsid w:val="34603CB1"/>
    <w:rsid w:val="34914DCA"/>
    <w:rsid w:val="34C6331F"/>
    <w:rsid w:val="34D95BB9"/>
    <w:rsid w:val="34F97D00"/>
    <w:rsid w:val="35050B53"/>
    <w:rsid w:val="35122A18"/>
    <w:rsid w:val="35461EDF"/>
    <w:rsid w:val="354D014F"/>
    <w:rsid w:val="35502BD2"/>
    <w:rsid w:val="3569384E"/>
    <w:rsid w:val="35A35F0C"/>
    <w:rsid w:val="35B43C28"/>
    <w:rsid w:val="361C2353"/>
    <w:rsid w:val="3635547B"/>
    <w:rsid w:val="365C6586"/>
    <w:rsid w:val="36746B61"/>
    <w:rsid w:val="36A9407C"/>
    <w:rsid w:val="36CA7953"/>
    <w:rsid w:val="36DC30E1"/>
    <w:rsid w:val="36FA1D41"/>
    <w:rsid w:val="3719430F"/>
    <w:rsid w:val="37C2178A"/>
    <w:rsid w:val="37C86384"/>
    <w:rsid w:val="37D61EDD"/>
    <w:rsid w:val="37E26F6D"/>
    <w:rsid w:val="37E93248"/>
    <w:rsid w:val="37F97B97"/>
    <w:rsid w:val="380411EC"/>
    <w:rsid w:val="3829480D"/>
    <w:rsid w:val="382F3B76"/>
    <w:rsid w:val="383529C2"/>
    <w:rsid w:val="383C5BD0"/>
    <w:rsid w:val="38536D3F"/>
    <w:rsid w:val="387933ED"/>
    <w:rsid w:val="387B61F0"/>
    <w:rsid w:val="387C466F"/>
    <w:rsid w:val="387D26D9"/>
    <w:rsid w:val="388727CC"/>
    <w:rsid w:val="389314C5"/>
    <w:rsid w:val="38F51E45"/>
    <w:rsid w:val="39024B57"/>
    <w:rsid w:val="392207C3"/>
    <w:rsid w:val="39425757"/>
    <w:rsid w:val="39BF540B"/>
    <w:rsid w:val="39F1794B"/>
    <w:rsid w:val="3A02147B"/>
    <w:rsid w:val="3A06167E"/>
    <w:rsid w:val="3A3665DD"/>
    <w:rsid w:val="3A3E66A1"/>
    <w:rsid w:val="3A534B7E"/>
    <w:rsid w:val="3A6F42D5"/>
    <w:rsid w:val="3A82293D"/>
    <w:rsid w:val="3A9E2AD9"/>
    <w:rsid w:val="3AC57875"/>
    <w:rsid w:val="3AE309A9"/>
    <w:rsid w:val="3AEF40DA"/>
    <w:rsid w:val="3B596DF7"/>
    <w:rsid w:val="3B8D1E1C"/>
    <w:rsid w:val="3BC23F1A"/>
    <w:rsid w:val="3BC52C1E"/>
    <w:rsid w:val="3BE402D6"/>
    <w:rsid w:val="3C2A7289"/>
    <w:rsid w:val="3C5503C9"/>
    <w:rsid w:val="3C6D30EA"/>
    <w:rsid w:val="3C6D47EB"/>
    <w:rsid w:val="3CCB7AFB"/>
    <w:rsid w:val="3CD8469E"/>
    <w:rsid w:val="3CEA67FE"/>
    <w:rsid w:val="3CF84A6E"/>
    <w:rsid w:val="3D2C7D07"/>
    <w:rsid w:val="3D2E7413"/>
    <w:rsid w:val="3D406D01"/>
    <w:rsid w:val="3D4E0A24"/>
    <w:rsid w:val="3D5934AC"/>
    <w:rsid w:val="3D966C01"/>
    <w:rsid w:val="3DA51E2F"/>
    <w:rsid w:val="3DB43891"/>
    <w:rsid w:val="3DBE2C48"/>
    <w:rsid w:val="3E0B7BD9"/>
    <w:rsid w:val="3E167B2E"/>
    <w:rsid w:val="3E1D4EEF"/>
    <w:rsid w:val="3E267F59"/>
    <w:rsid w:val="3E2E7FDD"/>
    <w:rsid w:val="3E3F54A6"/>
    <w:rsid w:val="3E4456FC"/>
    <w:rsid w:val="3EA877DC"/>
    <w:rsid w:val="3F1E12A1"/>
    <w:rsid w:val="3F7117D8"/>
    <w:rsid w:val="3FA702FB"/>
    <w:rsid w:val="3FCA4EB9"/>
    <w:rsid w:val="3FCF3774"/>
    <w:rsid w:val="3FEB0FB3"/>
    <w:rsid w:val="40325295"/>
    <w:rsid w:val="407C021F"/>
    <w:rsid w:val="408F32F1"/>
    <w:rsid w:val="40AD6B30"/>
    <w:rsid w:val="40F33173"/>
    <w:rsid w:val="40F82E28"/>
    <w:rsid w:val="40FE5756"/>
    <w:rsid w:val="41585AC3"/>
    <w:rsid w:val="41755806"/>
    <w:rsid w:val="41762118"/>
    <w:rsid w:val="41B34CCB"/>
    <w:rsid w:val="41C87C60"/>
    <w:rsid w:val="41C96466"/>
    <w:rsid w:val="41CC0719"/>
    <w:rsid w:val="41CE3596"/>
    <w:rsid w:val="41F45C74"/>
    <w:rsid w:val="41F85DEA"/>
    <w:rsid w:val="420610DF"/>
    <w:rsid w:val="42407D0F"/>
    <w:rsid w:val="429544E1"/>
    <w:rsid w:val="42A779B5"/>
    <w:rsid w:val="42B76D04"/>
    <w:rsid w:val="42CC6059"/>
    <w:rsid w:val="42CE6929"/>
    <w:rsid w:val="42F71CEC"/>
    <w:rsid w:val="43057719"/>
    <w:rsid w:val="43242415"/>
    <w:rsid w:val="43A47886"/>
    <w:rsid w:val="43BD07B0"/>
    <w:rsid w:val="43C65B01"/>
    <w:rsid w:val="43DF4E15"/>
    <w:rsid w:val="43E53BCD"/>
    <w:rsid w:val="43E60E15"/>
    <w:rsid w:val="43EF2749"/>
    <w:rsid w:val="43F03364"/>
    <w:rsid w:val="43F24FED"/>
    <w:rsid w:val="443B107F"/>
    <w:rsid w:val="44587313"/>
    <w:rsid w:val="445C4E37"/>
    <w:rsid w:val="44776D6B"/>
    <w:rsid w:val="44843D36"/>
    <w:rsid w:val="44B14540"/>
    <w:rsid w:val="44BA7E1E"/>
    <w:rsid w:val="44BE79C3"/>
    <w:rsid w:val="45271F81"/>
    <w:rsid w:val="455340E3"/>
    <w:rsid w:val="4557657E"/>
    <w:rsid w:val="457E0411"/>
    <w:rsid w:val="45BC7A33"/>
    <w:rsid w:val="45CA31DA"/>
    <w:rsid w:val="45D50D55"/>
    <w:rsid w:val="45E9527E"/>
    <w:rsid w:val="45EC6821"/>
    <w:rsid w:val="45F303D0"/>
    <w:rsid w:val="45F84858"/>
    <w:rsid w:val="462356B3"/>
    <w:rsid w:val="464004CF"/>
    <w:rsid w:val="46460503"/>
    <w:rsid w:val="4673772B"/>
    <w:rsid w:val="46930C60"/>
    <w:rsid w:val="46A55352"/>
    <w:rsid w:val="46B51FCF"/>
    <w:rsid w:val="46BA0199"/>
    <w:rsid w:val="46FF6AF5"/>
    <w:rsid w:val="47062A9A"/>
    <w:rsid w:val="470D43A0"/>
    <w:rsid w:val="476E313F"/>
    <w:rsid w:val="47704210"/>
    <w:rsid w:val="4771580B"/>
    <w:rsid w:val="47741649"/>
    <w:rsid w:val="47761CCA"/>
    <w:rsid w:val="47993F84"/>
    <w:rsid w:val="47BB48EC"/>
    <w:rsid w:val="47BD666C"/>
    <w:rsid w:val="47DB6CDA"/>
    <w:rsid w:val="480A17DC"/>
    <w:rsid w:val="482A3553"/>
    <w:rsid w:val="48896E93"/>
    <w:rsid w:val="488B2575"/>
    <w:rsid w:val="4896658D"/>
    <w:rsid w:val="48F14E9C"/>
    <w:rsid w:val="48F77743"/>
    <w:rsid w:val="49331F2A"/>
    <w:rsid w:val="497F7FCC"/>
    <w:rsid w:val="49B17433"/>
    <w:rsid w:val="49D74A20"/>
    <w:rsid w:val="4A284A82"/>
    <w:rsid w:val="4A5C202E"/>
    <w:rsid w:val="4A662E1D"/>
    <w:rsid w:val="4A6B03E1"/>
    <w:rsid w:val="4A7E32B4"/>
    <w:rsid w:val="4AD94E56"/>
    <w:rsid w:val="4AF07359"/>
    <w:rsid w:val="4AFC533A"/>
    <w:rsid w:val="4B104D1C"/>
    <w:rsid w:val="4B1367B9"/>
    <w:rsid w:val="4B316DE7"/>
    <w:rsid w:val="4B565C38"/>
    <w:rsid w:val="4B6D7831"/>
    <w:rsid w:val="4B873797"/>
    <w:rsid w:val="4B8D0855"/>
    <w:rsid w:val="4B920891"/>
    <w:rsid w:val="4B9C680D"/>
    <w:rsid w:val="4BB221B4"/>
    <w:rsid w:val="4C273B2C"/>
    <w:rsid w:val="4C336E5A"/>
    <w:rsid w:val="4C353BC7"/>
    <w:rsid w:val="4C5D54D6"/>
    <w:rsid w:val="4C814518"/>
    <w:rsid w:val="4C91315E"/>
    <w:rsid w:val="4CAD0872"/>
    <w:rsid w:val="4CCE50CA"/>
    <w:rsid w:val="4CE57F81"/>
    <w:rsid w:val="4D171B62"/>
    <w:rsid w:val="4D3A24A4"/>
    <w:rsid w:val="4D4458F0"/>
    <w:rsid w:val="4D594475"/>
    <w:rsid w:val="4D614640"/>
    <w:rsid w:val="4D762F64"/>
    <w:rsid w:val="4D941A9A"/>
    <w:rsid w:val="4DB06342"/>
    <w:rsid w:val="4DEC01C6"/>
    <w:rsid w:val="4DF158ED"/>
    <w:rsid w:val="4E0C3478"/>
    <w:rsid w:val="4E0E741B"/>
    <w:rsid w:val="4E207448"/>
    <w:rsid w:val="4E342583"/>
    <w:rsid w:val="4E4D0205"/>
    <w:rsid w:val="4E5F122A"/>
    <w:rsid w:val="4E6725B0"/>
    <w:rsid w:val="4E865DE0"/>
    <w:rsid w:val="4E9D7CEE"/>
    <w:rsid w:val="4EB31914"/>
    <w:rsid w:val="4EC83A06"/>
    <w:rsid w:val="4EDA6709"/>
    <w:rsid w:val="4EE32FEF"/>
    <w:rsid w:val="4F1C0A54"/>
    <w:rsid w:val="4F235FC8"/>
    <w:rsid w:val="4F2C3853"/>
    <w:rsid w:val="4F457C0A"/>
    <w:rsid w:val="4F530CAB"/>
    <w:rsid w:val="4F7F20AA"/>
    <w:rsid w:val="4F873909"/>
    <w:rsid w:val="4F9510BA"/>
    <w:rsid w:val="4FAB2E58"/>
    <w:rsid w:val="4FB14EAB"/>
    <w:rsid w:val="4FF617D6"/>
    <w:rsid w:val="502B2CEE"/>
    <w:rsid w:val="50507ECA"/>
    <w:rsid w:val="505E475D"/>
    <w:rsid w:val="506B2DFC"/>
    <w:rsid w:val="508F3931"/>
    <w:rsid w:val="50D442C5"/>
    <w:rsid w:val="50E64646"/>
    <w:rsid w:val="50F56E5E"/>
    <w:rsid w:val="50FC2CFB"/>
    <w:rsid w:val="513A3326"/>
    <w:rsid w:val="513B4B9D"/>
    <w:rsid w:val="515C13CF"/>
    <w:rsid w:val="51644678"/>
    <w:rsid w:val="516A6684"/>
    <w:rsid w:val="518B7F81"/>
    <w:rsid w:val="518C6DB2"/>
    <w:rsid w:val="51AF5989"/>
    <w:rsid w:val="51BD3476"/>
    <w:rsid w:val="51E25CE3"/>
    <w:rsid w:val="51E261D3"/>
    <w:rsid w:val="51EA16FB"/>
    <w:rsid w:val="51EF33C5"/>
    <w:rsid w:val="51FF7611"/>
    <w:rsid w:val="5223684A"/>
    <w:rsid w:val="52A32CE7"/>
    <w:rsid w:val="52A955AB"/>
    <w:rsid w:val="52EC1518"/>
    <w:rsid w:val="52FA0AAE"/>
    <w:rsid w:val="53186CFA"/>
    <w:rsid w:val="532C26FC"/>
    <w:rsid w:val="53322A76"/>
    <w:rsid w:val="53585B71"/>
    <w:rsid w:val="53664C1B"/>
    <w:rsid w:val="5367003F"/>
    <w:rsid w:val="53956485"/>
    <w:rsid w:val="53C54AA3"/>
    <w:rsid w:val="543E5ECB"/>
    <w:rsid w:val="544D3401"/>
    <w:rsid w:val="546C79C7"/>
    <w:rsid w:val="54732E31"/>
    <w:rsid w:val="547F5841"/>
    <w:rsid w:val="54A648D1"/>
    <w:rsid w:val="54CE4162"/>
    <w:rsid w:val="54D81A93"/>
    <w:rsid w:val="54DB29BD"/>
    <w:rsid w:val="54E44ED6"/>
    <w:rsid w:val="5529069B"/>
    <w:rsid w:val="55571991"/>
    <w:rsid w:val="55813E67"/>
    <w:rsid w:val="55833ADA"/>
    <w:rsid w:val="566931AC"/>
    <w:rsid w:val="568155BC"/>
    <w:rsid w:val="56F374FB"/>
    <w:rsid w:val="570E1063"/>
    <w:rsid w:val="575D4143"/>
    <w:rsid w:val="57613A81"/>
    <w:rsid w:val="5763406D"/>
    <w:rsid w:val="576F457F"/>
    <w:rsid w:val="578C038C"/>
    <w:rsid w:val="579B36B6"/>
    <w:rsid w:val="582A4B7F"/>
    <w:rsid w:val="58532B7C"/>
    <w:rsid w:val="58A26F1E"/>
    <w:rsid w:val="58A31A83"/>
    <w:rsid w:val="58B11480"/>
    <w:rsid w:val="58D81F5B"/>
    <w:rsid w:val="58F75D03"/>
    <w:rsid w:val="592D06A1"/>
    <w:rsid w:val="5942455C"/>
    <w:rsid w:val="59620232"/>
    <w:rsid w:val="596D61FA"/>
    <w:rsid w:val="59886901"/>
    <w:rsid w:val="59A00F56"/>
    <w:rsid w:val="59B24039"/>
    <w:rsid w:val="59DA5A4F"/>
    <w:rsid w:val="59EB0A74"/>
    <w:rsid w:val="5A31005C"/>
    <w:rsid w:val="5A637CC1"/>
    <w:rsid w:val="5A830DE0"/>
    <w:rsid w:val="5AB72D62"/>
    <w:rsid w:val="5AF8216E"/>
    <w:rsid w:val="5AFE63C7"/>
    <w:rsid w:val="5B0260D0"/>
    <w:rsid w:val="5B3D7266"/>
    <w:rsid w:val="5B73223F"/>
    <w:rsid w:val="5B8764EB"/>
    <w:rsid w:val="5B8D1AC1"/>
    <w:rsid w:val="5B93110E"/>
    <w:rsid w:val="5BA3592C"/>
    <w:rsid w:val="5BAB7539"/>
    <w:rsid w:val="5BB440EE"/>
    <w:rsid w:val="5BCE0DEA"/>
    <w:rsid w:val="5C0C254C"/>
    <w:rsid w:val="5C29341A"/>
    <w:rsid w:val="5C5D2B35"/>
    <w:rsid w:val="5C610721"/>
    <w:rsid w:val="5C780666"/>
    <w:rsid w:val="5C783DE8"/>
    <w:rsid w:val="5C8B6FF1"/>
    <w:rsid w:val="5C9818A6"/>
    <w:rsid w:val="5CE63CA8"/>
    <w:rsid w:val="5CFE4143"/>
    <w:rsid w:val="5D13255A"/>
    <w:rsid w:val="5D331782"/>
    <w:rsid w:val="5D502A92"/>
    <w:rsid w:val="5D9F44EB"/>
    <w:rsid w:val="5DA23426"/>
    <w:rsid w:val="5DE54931"/>
    <w:rsid w:val="5E1F098C"/>
    <w:rsid w:val="5E204AD7"/>
    <w:rsid w:val="5E4C6102"/>
    <w:rsid w:val="5E6D4BC0"/>
    <w:rsid w:val="5E84153E"/>
    <w:rsid w:val="5ECE5416"/>
    <w:rsid w:val="5EEA5BA3"/>
    <w:rsid w:val="5EF35F7E"/>
    <w:rsid w:val="5F103799"/>
    <w:rsid w:val="5F3E69CE"/>
    <w:rsid w:val="5FB47C92"/>
    <w:rsid w:val="5FB9411A"/>
    <w:rsid w:val="5FD528C8"/>
    <w:rsid w:val="5FE11ED3"/>
    <w:rsid w:val="6009519E"/>
    <w:rsid w:val="60155211"/>
    <w:rsid w:val="601E1E93"/>
    <w:rsid w:val="603D2CDD"/>
    <w:rsid w:val="608E0346"/>
    <w:rsid w:val="609A61F8"/>
    <w:rsid w:val="60A041A6"/>
    <w:rsid w:val="60AD5F5F"/>
    <w:rsid w:val="60BA6304"/>
    <w:rsid w:val="60D525F3"/>
    <w:rsid w:val="60E30438"/>
    <w:rsid w:val="61127BCE"/>
    <w:rsid w:val="611E5441"/>
    <w:rsid w:val="612D3C7B"/>
    <w:rsid w:val="617C2D8F"/>
    <w:rsid w:val="61826F89"/>
    <w:rsid w:val="61886C52"/>
    <w:rsid w:val="61D11F09"/>
    <w:rsid w:val="6210426E"/>
    <w:rsid w:val="62135DC5"/>
    <w:rsid w:val="621B363E"/>
    <w:rsid w:val="622A54BD"/>
    <w:rsid w:val="623E2101"/>
    <w:rsid w:val="626242CD"/>
    <w:rsid w:val="62757735"/>
    <w:rsid w:val="62852D71"/>
    <w:rsid w:val="628B64AF"/>
    <w:rsid w:val="62947A1C"/>
    <w:rsid w:val="62A109BE"/>
    <w:rsid w:val="62AC3FB8"/>
    <w:rsid w:val="62CD6DE1"/>
    <w:rsid w:val="62D135AD"/>
    <w:rsid w:val="62E70A4E"/>
    <w:rsid w:val="62FD4A9D"/>
    <w:rsid w:val="631E3D17"/>
    <w:rsid w:val="632C6FC4"/>
    <w:rsid w:val="632F46C6"/>
    <w:rsid w:val="633C129B"/>
    <w:rsid w:val="634B3FF6"/>
    <w:rsid w:val="63CE373A"/>
    <w:rsid w:val="63DA517F"/>
    <w:rsid w:val="63E80815"/>
    <w:rsid w:val="641F6EE0"/>
    <w:rsid w:val="643B6731"/>
    <w:rsid w:val="64460ECC"/>
    <w:rsid w:val="644F5E22"/>
    <w:rsid w:val="64681DB1"/>
    <w:rsid w:val="64902A98"/>
    <w:rsid w:val="64961979"/>
    <w:rsid w:val="64D843A5"/>
    <w:rsid w:val="64E46FA4"/>
    <w:rsid w:val="65295842"/>
    <w:rsid w:val="652B7ADD"/>
    <w:rsid w:val="653E277C"/>
    <w:rsid w:val="657E520F"/>
    <w:rsid w:val="659D0187"/>
    <w:rsid w:val="660B78BD"/>
    <w:rsid w:val="663B46C9"/>
    <w:rsid w:val="663F30CF"/>
    <w:rsid w:val="66A327A9"/>
    <w:rsid w:val="66DB09CF"/>
    <w:rsid w:val="66F93E1B"/>
    <w:rsid w:val="6700790A"/>
    <w:rsid w:val="6728524B"/>
    <w:rsid w:val="67413BF6"/>
    <w:rsid w:val="6755359A"/>
    <w:rsid w:val="67A7418D"/>
    <w:rsid w:val="67D27C62"/>
    <w:rsid w:val="67D67A95"/>
    <w:rsid w:val="67DE7597"/>
    <w:rsid w:val="67DF6978"/>
    <w:rsid w:val="67FB1CE6"/>
    <w:rsid w:val="680F614C"/>
    <w:rsid w:val="681920FF"/>
    <w:rsid w:val="68541CA5"/>
    <w:rsid w:val="68CC107E"/>
    <w:rsid w:val="68D102AF"/>
    <w:rsid w:val="68DD33EF"/>
    <w:rsid w:val="68E00AED"/>
    <w:rsid w:val="693C211B"/>
    <w:rsid w:val="694E04D2"/>
    <w:rsid w:val="695664EF"/>
    <w:rsid w:val="69653491"/>
    <w:rsid w:val="698044A5"/>
    <w:rsid w:val="698F0B2D"/>
    <w:rsid w:val="69E66B78"/>
    <w:rsid w:val="6A510F7A"/>
    <w:rsid w:val="6A7259EE"/>
    <w:rsid w:val="6A870A36"/>
    <w:rsid w:val="6A8739D3"/>
    <w:rsid w:val="6AA67E64"/>
    <w:rsid w:val="6AF21A55"/>
    <w:rsid w:val="6B0D712F"/>
    <w:rsid w:val="6B28575B"/>
    <w:rsid w:val="6B472B04"/>
    <w:rsid w:val="6B827ED3"/>
    <w:rsid w:val="6B8B198F"/>
    <w:rsid w:val="6B993DD8"/>
    <w:rsid w:val="6BA37D8C"/>
    <w:rsid w:val="6BD66216"/>
    <w:rsid w:val="6BE4485D"/>
    <w:rsid w:val="6BFE3795"/>
    <w:rsid w:val="6C1E113E"/>
    <w:rsid w:val="6C3A1127"/>
    <w:rsid w:val="6C3B11AE"/>
    <w:rsid w:val="6C3B431E"/>
    <w:rsid w:val="6C511D45"/>
    <w:rsid w:val="6C857DA8"/>
    <w:rsid w:val="6CC1587C"/>
    <w:rsid w:val="6D1E29B1"/>
    <w:rsid w:val="6D266267"/>
    <w:rsid w:val="6D2B74AA"/>
    <w:rsid w:val="6D4A3A68"/>
    <w:rsid w:val="6D697BC3"/>
    <w:rsid w:val="6D7111BC"/>
    <w:rsid w:val="6D895039"/>
    <w:rsid w:val="6D8C2B29"/>
    <w:rsid w:val="6DAE364D"/>
    <w:rsid w:val="6DCA5CB9"/>
    <w:rsid w:val="6E08583A"/>
    <w:rsid w:val="6E280F38"/>
    <w:rsid w:val="6E3010E6"/>
    <w:rsid w:val="6E406F22"/>
    <w:rsid w:val="6E5408E4"/>
    <w:rsid w:val="6E8A21F7"/>
    <w:rsid w:val="6ECB7942"/>
    <w:rsid w:val="6EFC69C0"/>
    <w:rsid w:val="6F000F0B"/>
    <w:rsid w:val="6F197436"/>
    <w:rsid w:val="6F2867BD"/>
    <w:rsid w:val="6F376285"/>
    <w:rsid w:val="6F44559B"/>
    <w:rsid w:val="6FD5303D"/>
    <w:rsid w:val="6FD976B8"/>
    <w:rsid w:val="70060EA7"/>
    <w:rsid w:val="70115BE8"/>
    <w:rsid w:val="703A2630"/>
    <w:rsid w:val="70400A41"/>
    <w:rsid w:val="70561E49"/>
    <w:rsid w:val="709C594C"/>
    <w:rsid w:val="70BA2B7E"/>
    <w:rsid w:val="70C723A5"/>
    <w:rsid w:val="70CB669B"/>
    <w:rsid w:val="70D31529"/>
    <w:rsid w:val="716245C4"/>
    <w:rsid w:val="718B2CD4"/>
    <w:rsid w:val="718E1170"/>
    <w:rsid w:val="71C4213D"/>
    <w:rsid w:val="71D0045B"/>
    <w:rsid w:val="71D05F49"/>
    <w:rsid w:val="71F773F9"/>
    <w:rsid w:val="720F4381"/>
    <w:rsid w:val="725A11BE"/>
    <w:rsid w:val="725E4C39"/>
    <w:rsid w:val="72C91F7A"/>
    <w:rsid w:val="72E02232"/>
    <w:rsid w:val="73090FE2"/>
    <w:rsid w:val="73131A58"/>
    <w:rsid w:val="73265607"/>
    <w:rsid w:val="73522B35"/>
    <w:rsid w:val="7399271A"/>
    <w:rsid w:val="73B418AA"/>
    <w:rsid w:val="73E4603C"/>
    <w:rsid w:val="73EC173C"/>
    <w:rsid w:val="73F82EA2"/>
    <w:rsid w:val="7435596C"/>
    <w:rsid w:val="74722C9A"/>
    <w:rsid w:val="747E452E"/>
    <w:rsid w:val="74880357"/>
    <w:rsid w:val="749E15DE"/>
    <w:rsid w:val="74A647DF"/>
    <w:rsid w:val="74A91F47"/>
    <w:rsid w:val="74D91075"/>
    <w:rsid w:val="74DC2BE0"/>
    <w:rsid w:val="74E82CC1"/>
    <w:rsid w:val="74FA5A4A"/>
    <w:rsid w:val="751A36A3"/>
    <w:rsid w:val="75321608"/>
    <w:rsid w:val="75330480"/>
    <w:rsid w:val="754B57C9"/>
    <w:rsid w:val="755F161D"/>
    <w:rsid w:val="75884210"/>
    <w:rsid w:val="75BD4A84"/>
    <w:rsid w:val="75EA7003"/>
    <w:rsid w:val="75F669BB"/>
    <w:rsid w:val="760D56E2"/>
    <w:rsid w:val="76342671"/>
    <w:rsid w:val="76EE218C"/>
    <w:rsid w:val="771614C5"/>
    <w:rsid w:val="772A411D"/>
    <w:rsid w:val="772E0B03"/>
    <w:rsid w:val="773C532B"/>
    <w:rsid w:val="773F5765"/>
    <w:rsid w:val="77642276"/>
    <w:rsid w:val="778A542A"/>
    <w:rsid w:val="77C177F8"/>
    <w:rsid w:val="77D20625"/>
    <w:rsid w:val="77DB3F30"/>
    <w:rsid w:val="77EF5E51"/>
    <w:rsid w:val="78114B94"/>
    <w:rsid w:val="788F1E71"/>
    <w:rsid w:val="789A3CEC"/>
    <w:rsid w:val="78AF6BF5"/>
    <w:rsid w:val="78B94C17"/>
    <w:rsid w:val="78BF6D54"/>
    <w:rsid w:val="78F360A2"/>
    <w:rsid w:val="79251491"/>
    <w:rsid w:val="79267717"/>
    <w:rsid w:val="79332F0B"/>
    <w:rsid w:val="796923D7"/>
    <w:rsid w:val="797E2B85"/>
    <w:rsid w:val="79BA47FB"/>
    <w:rsid w:val="79C11BD2"/>
    <w:rsid w:val="79E76B50"/>
    <w:rsid w:val="79E8078D"/>
    <w:rsid w:val="7A3422EE"/>
    <w:rsid w:val="7A362B5F"/>
    <w:rsid w:val="7A4774F3"/>
    <w:rsid w:val="7A5955C8"/>
    <w:rsid w:val="7A695006"/>
    <w:rsid w:val="7A915587"/>
    <w:rsid w:val="7AA678C6"/>
    <w:rsid w:val="7B016CDB"/>
    <w:rsid w:val="7B113087"/>
    <w:rsid w:val="7B230F9F"/>
    <w:rsid w:val="7B23609A"/>
    <w:rsid w:val="7B390471"/>
    <w:rsid w:val="7B5441DD"/>
    <w:rsid w:val="7B9D3F28"/>
    <w:rsid w:val="7B9E2E7D"/>
    <w:rsid w:val="7BA5186C"/>
    <w:rsid w:val="7BB92BA6"/>
    <w:rsid w:val="7BBB5D60"/>
    <w:rsid w:val="7BCD512A"/>
    <w:rsid w:val="7BEA35A6"/>
    <w:rsid w:val="7BF57F03"/>
    <w:rsid w:val="7C001572"/>
    <w:rsid w:val="7C050B07"/>
    <w:rsid w:val="7C1820F4"/>
    <w:rsid w:val="7C1C3339"/>
    <w:rsid w:val="7C754F16"/>
    <w:rsid w:val="7C8029DF"/>
    <w:rsid w:val="7C9E18CE"/>
    <w:rsid w:val="7C9E7A01"/>
    <w:rsid w:val="7CEC1F9E"/>
    <w:rsid w:val="7D1A2932"/>
    <w:rsid w:val="7D1F3748"/>
    <w:rsid w:val="7D2E186E"/>
    <w:rsid w:val="7D8F4D8B"/>
    <w:rsid w:val="7D972C8E"/>
    <w:rsid w:val="7DBA4407"/>
    <w:rsid w:val="7DCC2180"/>
    <w:rsid w:val="7DD14D63"/>
    <w:rsid w:val="7DE9671E"/>
    <w:rsid w:val="7DF734D3"/>
    <w:rsid w:val="7E04089A"/>
    <w:rsid w:val="7E0773D0"/>
    <w:rsid w:val="7E256583"/>
    <w:rsid w:val="7E367A91"/>
    <w:rsid w:val="7E5D66DD"/>
    <w:rsid w:val="7E734104"/>
    <w:rsid w:val="7E7C3173"/>
    <w:rsid w:val="7E8A5804"/>
    <w:rsid w:val="7E926C7F"/>
    <w:rsid w:val="7EE00201"/>
    <w:rsid w:val="7EE2523D"/>
    <w:rsid w:val="7EE628C5"/>
    <w:rsid w:val="7EED3DCE"/>
    <w:rsid w:val="7EEE5FCC"/>
    <w:rsid w:val="7F1D0C6A"/>
    <w:rsid w:val="7F2E279D"/>
    <w:rsid w:val="7F60044C"/>
    <w:rsid w:val="7F6848DF"/>
    <w:rsid w:val="7F7054DF"/>
    <w:rsid w:val="7F724CCB"/>
    <w:rsid w:val="7F8044A4"/>
    <w:rsid w:val="7F880165"/>
    <w:rsid w:val="7FA55375"/>
    <w:rsid w:val="7FCE4D1A"/>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character" w:customStyle="1" w:styleId="116">
    <w:name w:val="WW8Num1z0"/>
    <w:qFormat/>
    <w:uiPriority w:val="0"/>
  </w:style>
  <w:style w:type="character" w:customStyle="1" w:styleId="117">
    <w:name w:val="ui-provider"/>
    <w:qFormat/>
    <w:uiPriority w:val="0"/>
  </w:style>
  <w:style w:type="paragraph" w:customStyle="1" w:styleId="118">
    <w:name w:val="List Paragraph2"/>
    <w:basedOn w:val="1"/>
    <w:qFormat/>
    <w:uiPriority w:val="0"/>
    <w:pPr>
      <w:ind w:left="720"/>
      <w:contextualSpacing/>
    </w:pPr>
    <w:rPr>
      <w:rFonts w:ascii="Times New Roman" w:hAnsi="Times New Roman" w:eastAsia="Times New Roman"/>
      <w:sz w:val="24"/>
      <w:lang w:val="en-US" w:eastAsia="zh-CN"/>
    </w:rPr>
  </w:style>
  <w:style w:type="paragraph" w:customStyle="1" w:styleId="11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9</Pages>
  <Words>1139</Words>
  <Characters>6496</Characters>
  <Lines>54</Lines>
  <Paragraphs>15</Paragraphs>
  <TotalTime>2</TotalTime>
  <ScaleCrop>false</ScaleCrop>
  <LinksUpToDate>false</LinksUpToDate>
  <CharactersWithSpaces>7620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2025-08-15T01:40:48Z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1D4C04DB56C845A2BE52C1F8CE1CC7EE_13</vt:lpwstr>
  </property>
</Properties>
</file>